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Lines w:val="0"/>
        <w:spacing w:before="0" w:after="80" w:line="269" w:lineRule="auto"/>
        <w:jc w:val="left"/>
        <w:pBdr>
          <w:top w:val="single" w:sz="20" w:space="8" w:color="C5A46D"/>
        </w:pBdr>
      </w:pPr>
      <w:r>
        <w:rPr>
          <w:rFonts w:ascii="Nimbus Sans" w:hAnsi="Nimbus Sans" w:eastAsia="Nimbus Sans"/>
          <w:b/>
          <w:i w:val="0"/>
          <w:color w:val="0F2747"/>
          <w:sz w:val="26"/>
        </w:rPr>
        <w:t>PLU.immo</w:t>
      </w:r>
    </w:p>
    <w:p>
      <w:pPr>
        <w:keepLines w:val="0"/>
        <w:spacing w:before="0" w:after="680" w:line="269" w:lineRule="auto"/>
        <w:jc w:val="left"/>
      </w:pPr>
      <w:r>
        <w:rPr>
          <w:rFonts w:ascii="Nimbus Sans" w:hAnsi="Nimbus Sans" w:eastAsia="Nimbus Sans"/>
          <w:b/>
          <w:i w:val="0"/>
          <w:color w:val="5E6875"/>
          <w:sz w:val="17"/>
        </w:rPr>
        <w:t>LA PLATEFORME AU SERVICE DES TERRITOIRES ET DES CITOYENS</w:t>
      </w:r>
    </w:p>
    <w:p>
      <w:pPr>
        <w:keepLines/>
        <w:spacing w:before="0" w:after="0" w:line="240" w:lineRule="auto"/>
        <w:jc w:val="left"/>
      </w:pPr>
      <w:r>
        <w:rPr>
          <w:rFonts w:ascii="Nimbus Sans" w:hAnsi="Nimbus Sans" w:eastAsia="Nimbus Sans"/>
          <w:b/>
          <w:i w:val="0"/>
          <w:color w:val="0F2747"/>
          <w:sz w:val="58"/>
        </w:rPr>
        <w:t>CHARTE FONDATRICE</w:t>
      </w:r>
    </w:p>
    <w:p>
      <w:pPr>
        <w:keepLines/>
        <w:spacing w:before="0" w:after="320" w:line="240" w:lineRule="auto"/>
        <w:jc w:val="left"/>
      </w:pPr>
      <w:r>
        <w:rPr>
          <w:rFonts w:ascii="Nimbus Sans" w:hAnsi="Nimbus Sans" w:eastAsia="Nimbus Sans"/>
          <w:b/>
          <w:i w:val="0"/>
          <w:color w:val="2E6FA3"/>
          <w:sz w:val="36"/>
        </w:rPr>
        <w:t>&amp; CAHIER DES CHARGES OPÉRATIONNEL</w:t>
      </w:r>
    </w:p>
    <w:p>
      <w:pPr>
        <w:keepLines w:val="0"/>
        <w:spacing w:before="0" w:after="120" w:line="269" w:lineRule="auto"/>
        <w:jc w:val="left"/>
      </w:pPr>
      <w:r>
        <w:rPr>
          <w:rFonts w:ascii="Nimbus Sans" w:hAnsi="Nimbus Sans" w:eastAsia="Nimbus Sans"/>
          <w:b/>
          <w:i w:val="0"/>
          <w:color w:val="222B35"/>
          <w:sz w:val="30"/>
        </w:rPr>
        <w:t>Futur Fonds de dotation PLU.immo</w:t>
      </w:r>
    </w:p>
    <w:p>
      <w:pPr>
        <w:keepLines w:val="0"/>
        <w:spacing w:before="0" w:after="480" w:line="269" w:lineRule="auto"/>
        <w:jc w:val="left"/>
      </w:pPr>
      <w:r>
        <w:rPr>
          <w:rFonts w:ascii="Nimbus Sans" w:hAnsi="Nimbus Sans" w:eastAsia="Nimbus Sans"/>
          <w:b/>
          <w:i w:val="0"/>
          <w:color w:val="C8102E"/>
          <w:sz w:val="24"/>
        </w:rPr>
        <w:t>Redistribution territoriale - première attribution fin 2028</w:t>
      </w:r>
    </w:p>
    <w:p>
      <w:pPr>
        <w:keepLines w:val="0"/>
        <w:spacing w:before="40" w:after="0" w:line="269" w:lineRule="auto"/>
        <w:jc w:val="center"/>
        <w:shd w:fill="0F2747" w:val="clear"/>
      </w:pPr>
      <w:r>
        <w:rPr>
          <w:rFonts w:ascii="Nimbus Sans" w:hAnsi="Nimbus Sans" w:eastAsia="Nimbus Sans"/>
          <w:b/>
          <w:i w:val="0"/>
          <w:color w:val="C5A46D"/>
          <w:sz w:val="70"/>
        </w:rPr>
        <w:t>30 %</w:t>
      </w:r>
    </w:p>
    <w:p>
      <w:pPr>
        <w:keepLines w:val="0"/>
        <w:spacing w:before="0" w:after="560" w:line="269" w:lineRule="auto"/>
        <w:jc w:val="center"/>
        <w:shd w:fill="0F2747" w:val="clear"/>
      </w:pPr>
      <w:r>
        <w:rPr>
          <w:rFonts w:ascii="Nimbus Sans" w:hAnsi="Nimbus Sans" w:eastAsia="Nimbus Sans"/>
          <w:b/>
          <w:i w:val="0"/>
          <w:color w:val="FFFFFF"/>
          <w:sz w:val="20"/>
        </w:rPr>
        <w:t>DES BÉNÉFICES LIÉS AUX PARTENARIATS</w:t>
      </w:r>
    </w:p>
    <w:p>
      <w:pPr>
        <w:keepLines w:val="0"/>
        <w:spacing w:before="0" w:after="560" w:line="269" w:lineRule="auto"/>
        <w:jc w:val="center"/>
      </w:pPr>
      <w:r>
        <w:rPr>
          <w:rFonts w:ascii="Nimbus Sans" w:hAnsi="Nimbus Sans" w:eastAsia="Nimbus Sans"/>
          <w:b/>
          <w:i w:val="0"/>
          <w:color w:val="0F2747"/>
          <w:sz w:val="26"/>
        </w:rPr>
        <w:t>Architecture  •  Culture  •  Patrimoine</w:t>
      </w:r>
    </w:p>
    <w:p>
      <w:pPr>
        <w:spacing w:before="100" w:after="140" w:line="264" w:lineRule="auto"/>
        <w:ind w:left="142" w:right="142"/>
        <w:shd w:fill="F7F1E7" w:val="clear"/>
        <w:pBdr>
          <w:left w:val="single" w:sz="20" w:space="6" w:color="C5A46D"/>
        </w:pBdr>
      </w:pPr>
      <w:r>
        <w:rPr>
          <w:rFonts w:ascii="Nimbus Sans" w:hAnsi="Nimbus Sans" w:eastAsia="Nimbus Sans"/>
          <w:b/>
          <w:i w:val="0"/>
          <w:color w:val="C5A46D"/>
          <w:sz w:val="18"/>
        </w:rPr>
        <w:t xml:space="preserve">STATUT DU DOCUMENT  </w:t>
      </w:r>
      <w:r>
        <w:rPr>
          <w:rFonts w:ascii="Nimbus Sans" w:hAnsi="Nimbus Sans" w:eastAsia="Nimbus Sans"/>
          <w:b w:val="0"/>
          <w:i w:val="0"/>
          <w:color w:val="222B35"/>
          <w:sz w:val="18"/>
        </w:rPr>
        <w:t>Document de cadrage destiné à guider les statuts, le règlement intérieur, la convention de mécénat avec la SAS PLU et le premier appel à projets 2028. Il ne se substitue pas à la validation d'un avocat, d'un expert-comptable, du commissaire aux comptes et, pour la fiscalité du mécénat, à un rescrit.</w:t>
      </w:r>
    </w:p>
    <w:p>
      <w:pPr>
        <w:keepLines w:val="0"/>
        <w:spacing w:before="360" w:after="0" w:line="269" w:lineRule="auto"/>
        <w:jc w:val="center"/>
      </w:pPr>
      <w:r>
        <w:rPr>
          <w:rFonts w:ascii="Nimbus Sans" w:hAnsi="Nimbus Sans" w:eastAsia="Nimbus Sans"/>
          <w:b w:val="0"/>
          <w:i/>
          <w:color w:val="5E6875"/>
          <w:sz w:val="17"/>
        </w:rPr>
        <w:t>Version 1.0 - cadre juridique vérifié au 26 août 2026</w:t>
      </w:r>
    </w:p>
    <w:p>
      <w:r>
        <w:br w:type="page"/>
      </w:r>
    </w:p>
    <w:p>
      <w:pPr>
        <w:pStyle w:val="Heading1"/>
        <w:keepNext/>
        <w:pageBreakBefore w:val="0"/>
        <w:pBdr>
          <w:left w:val="single" w:sz="18" w:space="8" w:color="C5A46D"/>
        </w:pBdr>
      </w:pPr>
      <w:r>
        <w:rPr>
          <w:rFonts w:ascii="Nimbus Sans" w:hAnsi="Nimbus Sans" w:eastAsia="Nimbus Sans"/>
          <w:b/>
          <w:i w:val="0"/>
          <w:color w:val="0F2747"/>
          <w:sz w:val="36"/>
        </w:rPr>
        <w:t>1. Décisions fondatrices proposées</w:t>
      </w:r>
    </w:p>
    <w:p>
      <w:pPr>
        <w:keepLines w:val="0"/>
        <w:spacing w:before="0" w:after="80" w:line="269" w:lineRule="auto"/>
        <w:jc w:val="left"/>
      </w:pPr>
      <w:r>
        <w:rPr>
          <w:rFonts w:ascii="Nimbus Sans" w:hAnsi="Nimbus Sans" w:eastAsia="Nimbus Sans"/>
          <w:b w:val="0"/>
          <w:i w:val="0"/>
          <w:color w:val="222B35"/>
          <w:sz w:val="19"/>
        </w:rPr>
        <w:t>Le Fonds de dotation PLU.immo est conçu comme un outil privé, autonome et non lucratif de redistribution territoriale. Il reçoit des libéralités irrévocables, principalement la contribution annuelle de la SAS PLU, puis finance des missions d'intérêt général portées par des communes à faible capacité financière.</w:t>
      </w:r>
    </w:p>
    <w:p>
      <w:pPr>
        <w:spacing w:before="100" w:after="140" w:line="264" w:lineRule="auto"/>
        <w:ind w:left="142" w:right="142"/>
        <w:shd w:fill="EAF1F7" w:val="clear"/>
        <w:pBdr>
          <w:left w:val="single" w:sz="20" w:space="6" w:color="2E6FA3"/>
        </w:pBdr>
      </w:pPr>
      <w:r>
        <w:rPr>
          <w:rFonts w:ascii="Nimbus Sans" w:hAnsi="Nimbus Sans" w:eastAsia="Nimbus Sans"/>
          <w:b/>
          <w:i w:val="0"/>
          <w:color w:val="2E6FA3"/>
          <w:sz w:val="18"/>
        </w:rPr>
        <w:t xml:space="preserve">DÉCISION STRUCTURANTE  </w:t>
      </w:r>
      <w:r>
        <w:rPr>
          <w:rFonts w:ascii="Nimbus Sans" w:hAnsi="Nimbus Sans" w:eastAsia="Nimbus Sans"/>
          <w:b w:val="0"/>
          <w:i w:val="0"/>
          <w:color w:val="222B35"/>
          <w:sz w:val="18"/>
        </w:rPr>
        <w:t>Le fonds doit être distinct juridiquement, comptablement, bancairement et décisionnellement de la plateforme PLU.immo. La SAS PLU finance ; elle ne choisit pas seule les bénéficiaires et ne récupère jamais les sommes versées.</w:t>
      </w:r>
    </w:p>
    <w:tbl>
      <w:tblPr>
        <w:tblStyle w:val="TableGrid"/>
        <w:tblW w:type="dxa" w:w="9740"/>
        <w:jc w:val="left"/>
        <w:tblLayout w:type="fixed"/>
        <w:tblLook w:firstColumn="1" w:firstRow="1" w:lastColumn="0" w:lastRow="0" w:noHBand="0" w:noVBand="1" w:val="04A0"/>
        <w:tblInd w:w="120" w:type="dxa"/>
        <w:tblBorders>
          <w:top w:val="single" w:sz="6" w:color="D9DEE5"/>
          <w:left w:val="single" w:sz="6" w:color="D9DEE5"/>
          <w:bottom w:val="single" w:sz="6" w:color="D9DEE5"/>
          <w:right w:val="single" w:sz="6" w:color="D9DEE5"/>
          <w:insideH w:val="single" w:sz="6" w:color="D9DEE5"/>
          <w:insideV w:val="single" w:sz="6" w:color="D9DEE5"/>
        </w:tblBorders>
      </w:tblPr>
      <w:tblGrid>
        <w:gridCol w:w="2300"/>
        <w:gridCol w:w="7440"/>
      </w:tblGrid>
      <w:tr>
        <w:trPr>
          <w:tblHeader w:val="true"/>
          <w:cantSplit/>
        </w:trPr>
        <w:tc>
          <w:tcPr>
            <w:tcW w:type="dxa" w:w="23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Choix</w:t>
            </w:r>
          </w:p>
        </w:tc>
        <w:tc>
          <w:tcPr>
            <w:tcW w:type="dxa" w:w="744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Proposition</w:t>
            </w:r>
          </w:p>
        </w:tc>
      </w:tr>
      <w:tr>
        <w:trPr>
          <w:cantSplit/>
        </w:trPr>
        <w:tc>
          <w:tcPr>
            <w:tcW w:type="dxa" w:w="23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Forme</w:t>
            </w:r>
          </w:p>
        </w:tc>
        <w:tc>
          <w:tcPr>
            <w:tcW w:type="dxa" w:w="74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Fonds de dotation de droit privé, créé pour une durée indéterminée.</w:t>
            </w:r>
          </w:p>
        </w:tc>
      </w:tr>
      <w:tr>
        <w:trPr>
          <w:cantSplit/>
        </w:trPr>
        <w:tc>
          <w:tcPr>
            <w:tcW w:type="dxa" w:w="23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Objet</w:t>
            </w:r>
          </w:p>
        </w:tc>
        <w:tc>
          <w:tcPr>
            <w:tcW w:type="dxa" w:w="74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Architecture, culture et patrimoine, avec une attention particulière à l'habitat partagé, participatif et inclusif.</w:t>
            </w:r>
          </w:p>
        </w:tc>
      </w:tr>
      <w:tr>
        <w:trPr>
          <w:cantSplit/>
        </w:trPr>
        <w:tc>
          <w:tcPr>
            <w:tcW w:type="dxa" w:w="23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Apport initial</w:t>
            </w:r>
          </w:p>
        </w:tc>
        <w:tc>
          <w:tcPr>
            <w:tcW w:type="dxa" w:w="74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15 000 € minimum en numéraire au cours du premier exercice.</w:t>
            </w:r>
          </w:p>
        </w:tc>
      </w:tr>
      <w:tr>
        <w:trPr>
          <w:cantSplit/>
        </w:trPr>
        <w:tc>
          <w:tcPr>
            <w:tcW w:type="dxa" w:w="23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Flux PLU</w:t>
            </w:r>
          </w:p>
        </w:tc>
        <w:tc>
          <w:tcPr>
            <w:tcW w:type="dxa" w:w="74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30 % du résultat net contributif annuel des activités de partenariat, calculé selon une comptabilité analytique stable.</w:t>
            </w:r>
          </w:p>
        </w:tc>
      </w:tr>
      <w:tr>
        <w:trPr>
          <w:cantSplit/>
        </w:trPr>
        <w:tc>
          <w:tcPr>
            <w:tcW w:type="dxa" w:w="23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Modèle financier</w:t>
            </w:r>
          </w:p>
        </w:tc>
        <w:tc>
          <w:tcPr>
            <w:tcW w:type="dxa" w:w="74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Dotation consomptible, assortie d'un plan annuel de consommation et d'un plancher interne de sécurité.</w:t>
            </w:r>
          </w:p>
        </w:tc>
      </w:tr>
      <w:tr>
        <w:trPr>
          <w:cantSplit/>
        </w:trPr>
        <w:tc>
          <w:tcPr>
            <w:tcW w:type="dxa" w:w="23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Gouvernance</w:t>
            </w:r>
          </w:p>
        </w:tc>
        <w:tc>
          <w:tcPr>
            <w:tcW w:type="dxa" w:w="74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Conseil de 7 membres, dont 2 représentants PLU au maximum et une majorité de personnalités indépendantes.</w:t>
            </w:r>
          </w:p>
        </w:tc>
      </w:tr>
      <w:tr>
        <w:trPr>
          <w:cantSplit/>
        </w:trPr>
        <w:tc>
          <w:tcPr>
            <w:tcW w:type="dxa" w:w="23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Contrôle</w:t>
            </w:r>
          </w:p>
        </w:tc>
        <w:tc>
          <w:tcPr>
            <w:tcW w:type="dxa" w:w="74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Expert-comptable externe ; commissaire aux comptes externe dès que les ressources dépassent 10 000 € - seuil qui sera atteint dès le lancement.</w:t>
            </w:r>
          </w:p>
        </w:tc>
      </w:tr>
      <w:tr>
        <w:trPr>
          <w:cantSplit/>
        </w:trPr>
        <w:tc>
          <w:tcPr>
            <w:tcW w:type="dxa" w:w="23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Première campagne</w:t>
            </w:r>
          </w:p>
        </w:tc>
        <w:tc>
          <w:tcPr>
            <w:tcW w:type="dxa" w:w="74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Sélection à l'été 2028, conventions à l'automne, premiers versements avant le 31 décembre 2028.</w:t>
            </w:r>
          </w:p>
        </w:tc>
      </w:tr>
    </w:tbl>
    <w:p>
      <w:pPr>
        <w:spacing w:after="40"/>
      </w:pPr>
    </w:p>
    <w:p>
      <w:pPr>
        <w:pStyle w:val="Heading2"/>
        <w:keepNext/>
      </w:pPr>
      <w:r>
        <w:rPr>
          <w:rFonts w:ascii="Nimbus Sans" w:hAnsi="Nimbus Sans" w:eastAsia="Nimbus Sans"/>
          <w:b/>
          <w:i w:val="0"/>
          <w:color w:val="2E6FA3"/>
          <w:sz w:val="26"/>
        </w:rPr>
        <w:t>Les trois corrections indispensables</w:t>
      </w:r>
    </w:p>
    <w:p>
      <w:pPr>
        <w:pStyle w:val="ListBullet"/>
        <w:spacing w:after="40" w:line="259" w:lineRule="auto"/>
        <w:ind w:left="312" w:hanging="125"/>
      </w:pPr>
      <w:r>
        <w:rPr>
          <w:rFonts w:ascii="Nimbus Sans" w:hAnsi="Nimbus Sans" w:eastAsia="Nimbus Sans"/>
          <w:b w:val="0"/>
          <w:i w:val="0"/>
          <w:color w:val="222B35"/>
          <w:sz w:val="18"/>
        </w:rPr>
        <w:t>Caisse des Dépôts : une consignation ou un compte dans ses livres n'est pas un compte bancaire ordinaire librement accessible. L'ouverture doit rester subordonnée à une base légale, une éligibilité ou une convention écrite ; à défaut, un établissement de crédit régulé doit accueillir les fonds sur un compte séparé.</w:t>
      </w:r>
    </w:p>
    <w:p>
      <w:pPr>
        <w:pStyle w:val="ListBullet"/>
        <w:spacing w:after="40" w:line="259" w:lineRule="auto"/>
        <w:ind w:left="312" w:hanging="125"/>
      </w:pPr>
      <w:r>
        <w:rPr>
          <w:rFonts w:ascii="Nimbus Sans" w:hAnsi="Nimbus Sans" w:eastAsia="Nimbus Sans"/>
          <w:b w:val="0"/>
          <w:i w:val="0"/>
          <w:color w:val="222B35"/>
          <w:sz w:val="18"/>
        </w:rPr>
        <w:t>Professionnel comptable : le commissaire aux comptes ne peut pas administrer les fonds qu'il certifie. Le trésorier indépendant, l'expert-comptable et le commissaire aux comptes ont des fonctions distinctes.</w:t>
      </w:r>
    </w:p>
    <w:p>
      <w:pPr>
        <w:pStyle w:val="ListBullet"/>
        <w:spacing w:after="40" w:line="259" w:lineRule="auto"/>
        <w:ind w:left="312" w:hanging="125"/>
      </w:pPr>
      <w:r>
        <w:rPr>
          <w:rFonts w:ascii="Nimbus Sans" w:hAnsi="Nimbus Sans" w:eastAsia="Nimbus Sans"/>
          <w:b w:val="0"/>
          <w:i w:val="0"/>
          <w:color w:val="222B35"/>
          <w:sz w:val="18"/>
        </w:rPr>
        <w:t>Communes partenaires : la redevance PLU peut créer une priorité limitée, mais ne doit pas acheter un droit à subvention. L'ouverture sur des critères de fragilité et d'intérêt général réduit le risque de cercle restreint et de contrepartie commerciale.</w:t>
      </w:r>
    </w:p>
    <w:p>
      <w:r>
        <w:br w:type="page"/>
      </w:r>
    </w:p>
    <w:p>
      <w:pPr>
        <w:pStyle w:val="Heading1"/>
        <w:keepNext/>
        <w:pageBreakBefore w:val="0"/>
        <w:pBdr>
          <w:left w:val="single" w:sz="18" w:space="8" w:color="C5A46D"/>
        </w:pBdr>
      </w:pPr>
      <w:r>
        <w:rPr>
          <w:rFonts w:ascii="Nimbus Sans" w:hAnsi="Nimbus Sans" w:eastAsia="Nimbus Sans"/>
          <w:b/>
          <w:i w:val="0"/>
          <w:color w:val="0F2747"/>
          <w:sz w:val="36"/>
        </w:rPr>
        <w:t>2. Cadre légal et nature du fonds</w:t>
      </w:r>
    </w:p>
    <w:p>
      <w:pPr>
        <w:pStyle w:val="Heading2"/>
        <w:keepNext/>
      </w:pPr>
      <w:r>
        <w:rPr>
          <w:rFonts w:ascii="Nimbus Sans" w:hAnsi="Nimbus Sans" w:eastAsia="Nimbus Sans"/>
          <w:b/>
          <w:i w:val="0"/>
          <w:color w:val="2E6FA3"/>
          <w:sz w:val="26"/>
        </w:rPr>
        <w:t>2.1 Définition</w:t>
      </w:r>
    </w:p>
    <w:p>
      <w:pPr>
        <w:keepLines w:val="0"/>
        <w:spacing w:before="0" w:after="80" w:line="269" w:lineRule="auto"/>
        <w:jc w:val="left"/>
      </w:pPr>
      <w:r>
        <w:rPr>
          <w:rFonts w:ascii="Nimbus Sans" w:hAnsi="Nimbus Sans" w:eastAsia="Nimbus Sans"/>
          <w:b w:val="0"/>
          <w:i w:val="0"/>
          <w:color w:val="222B35"/>
          <w:sz w:val="19"/>
        </w:rPr>
        <w:t>Le fonds de dotation est une personne morale de droit privé à but non lucratif. Il reçoit des biens et droits apportés gratuitement et irrévocablement, les gère et affecte leur produit - ou, si les statuts le prévoient, leur capital - à une mission d'intérêt général ou à des redistributions au profit d'organismes eux-mêmes éligibles. [R1]</w:t>
      </w:r>
    </w:p>
    <w:p>
      <w:pPr>
        <w:pStyle w:val="Heading2"/>
        <w:keepNext/>
      </w:pPr>
      <w:r>
        <w:rPr>
          <w:rFonts w:ascii="Nimbus Sans" w:hAnsi="Nimbus Sans" w:eastAsia="Nimbus Sans"/>
          <w:b/>
          <w:i w:val="0"/>
          <w:color w:val="2E6FA3"/>
          <w:sz w:val="26"/>
        </w:rPr>
        <w:t>2.2 Création et personnalité morale</w:t>
      </w:r>
    </w:p>
    <w:p>
      <w:pPr>
        <w:pStyle w:val="ListBullet"/>
        <w:spacing w:after="40" w:line="259" w:lineRule="auto"/>
        <w:ind w:left="312" w:hanging="125"/>
      </w:pPr>
      <w:r>
        <w:rPr>
          <w:rFonts w:ascii="Nimbus Sans" w:hAnsi="Nimbus Sans" w:eastAsia="Nimbus Sans"/>
          <w:b w:val="0"/>
          <w:i w:val="0"/>
          <w:color w:val="222B35"/>
          <w:sz w:val="18"/>
        </w:rPr>
        <w:t>fondateur proposé : SAS PLU, avec faculté d'associer un ou plusieurs cofondateurs privés sans droit de reprise ;</w:t>
      </w:r>
    </w:p>
    <w:p>
      <w:pPr>
        <w:pStyle w:val="ListBullet"/>
        <w:spacing w:after="40" w:line="259" w:lineRule="auto"/>
        <w:ind w:left="312" w:hanging="125"/>
      </w:pPr>
      <w:r>
        <w:rPr>
          <w:rFonts w:ascii="Nimbus Sans" w:hAnsi="Nimbus Sans" w:eastAsia="Nimbus Sans"/>
          <w:b w:val="0"/>
          <w:i w:val="0"/>
          <w:color w:val="222B35"/>
          <w:sz w:val="18"/>
        </w:rPr>
        <w:t>déclaration par téléservice à la préfecture du département du siège ;</w:t>
      </w:r>
    </w:p>
    <w:p>
      <w:pPr>
        <w:pStyle w:val="ListBullet"/>
        <w:spacing w:after="40" w:line="259" w:lineRule="auto"/>
        <w:ind w:left="312" w:hanging="125"/>
      </w:pPr>
      <w:r>
        <w:rPr>
          <w:rFonts w:ascii="Nimbus Sans" w:hAnsi="Nimbus Sans" w:eastAsia="Nimbus Sans"/>
          <w:b w:val="0"/>
          <w:i w:val="0"/>
          <w:color w:val="222B35"/>
          <w:sz w:val="18"/>
        </w:rPr>
        <w:t>dépôt de statuts datés et signés, précisant l'objet, la durée, l'administration et les établissements bancaires ;</w:t>
      </w:r>
    </w:p>
    <w:p>
      <w:pPr>
        <w:pStyle w:val="ListBullet"/>
        <w:spacing w:after="40" w:line="259" w:lineRule="auto"/>
        <w:ind w:left="312" w:hanging="125"/>
      </w:pPr>
      <w:r>
        <w:rPr>
          <w:rFonts w:ascii="Nimbus Sans" w:hAnsi="Nimbus Sans" w:eastAsia="Nimbus Sans"/>
          <w:b w:val="0"/>
          <w:i w:val="0"/>
          <w:color w:val="222B35"/>
          <w:sz w:val="18"/>
        </w:rPr>
        <w:t>personnalité morale acquise à la publication de la déclaration au Journal officiel ;</w:t>
      </w:r>
    </w:p>
    <w:p>
      <w:pPr>
        <w:pStyle w:val="ListBullet"/>
        <w:spacing w:after="40" w:line="259" w:lineRule="auto"/>
        <w:ind w:left="312" w:hanging="125"/>
      </w:pPr>
      <w:r>
        <w:rPr>
          <w:rFonts w:ascii="Nimbus Sans" w:hAnsi="Nimbus Sans" w:eastAsia="Nimbus Sans"/>
          <w:b w:val="0"/>
          <w:i w:val="0"/>
          <w:color w:val="222B35"/>
          <w:sz w:val="18"/>
        </w:rPr>
        <w:t>déclaration dans les trois mois de toute modification des statuts ou des informations réglementaires. [R1-R3]</w:t>
      </w:r>
    </w:p>
    <w:p>
      <w:pPr>
        <w:pStyle w:val="Heading2"/>
        <w:keepNext/>
      </w:pPr>
      <w:r>
        <w:rPr>
          <w:rFonts w:ascii="Nimbus Sans" w:hAnsi="Nimbus Sans" w:eastAsia="Nimbus Sans"/>
          <w:b/>
          <w:i w:val="0"/>
          <w:color w:val="2E6FA3"/>
          <w:sz w:val="26"/>
        </w:rPr>
        <w:t>2.3 Dotation initiale et ressources</w:t>
      </w:r>
    </w:p>
    <w:p>
      <w:pPr>
        <w:keepLines w:val="0"/>
        <w:spacing w:before="0" w:after="80" w:line="269" w:lineRule="auto"/>
        <w:jc w:val="left"/>
      </w:pPr>
      <w:r>
        <w:rPr>
          <w:rFonts w:ascii="Nimbus Sans" w:hAnsi="Nimbus Sans" w:eastAsia="Nimbus Sans"/>
          <w:b w:val="0"/>
          <w:i w:val="0"/>
          <w:color w:val="222B35"/>
          <w:sz w:val="19"/>
        </w:rPr>
        <w:t>La dotation initiale doit être versée en numéraire par les fondateurs au cours du premier exercice et atteindre au moins 15 000 €. Les apports, dons et legs sont irrévocables. Les fonds publics sont interdits, sauf dérogation ministérielle exceptionnelle pour un programme déterminé. [R1-R3]</w:t>
      </w:r>
    </w:p>
    <w:p>
      <w:pPr>
        <w:spacing w:before="100" w:after="140" w:line="264" w:lineRule="auto"/>
        <w:ind w:left="142" w:right="142"/>
        <w:shd w:fill="F7F1E7" w:val="clear"/>
        <w:pBdr>
          <w:left w:val="single" w:sz="20" w:space="6" w:color="C5A46D"/>
        </w:pBdr>
      </w:pPr>
      <w:r>
        <w:rPr>
          <w:rFonts w:ascii="Nimbus Sans" w:hAnsi="Nimbus Sans" w:eastAsia="Nimbus Sans"/>
          <w:b/>
          <w:i w:val="0"/>
          <w:color w:val="C5A46D"/>
          <w:sz w:val="18"/>
        </w:rPr>
        <w:t xml:space="preserve">CONSÉQUENCE POUR PLU.IMMO  </w:t>
      </w:r>
      <w:r>
        <w:rPr>
          <w:rFonts w:ascii="Nimbus Sans" w:hAnsi="Nimbus Sans" w:eastAsia="Nimbus Sans"/>
          <w:b w:val="0"/>
          <w:i w:val="0"/>
          <w:color w:val="222B35"/>
          <w:sz w:val="18"/>
        </w:rPr>
        <w:t>La redevance payée par une commune reste une recette commerciale de la SAS PLU. Elle ne doit jamais être encaissée par le fonds, ni être juridiquement fléchée euro pour euro. La contribution de 30 % est décidée après détermination du résultat de la SAS et versée sur ses ressources privées.</w:t>
      </w:r>
    </w:p>
    <w:p>
      <w:pPr>
        <w:pStyle w:val="Heading2"/>
        <w:keepNext/>
      </w:pPr>
      <w:r>
        <w:rPr>
          <w:rFonts w:ascii="Nimbus Sans" w:hAnsi="Nimbus Sans" w:eastAsia="Nimbus Sans"/>
          <w:b/>
          <w:i w:val="0"/>
          <w:color w:val="2E6FA3"/>
          <w:sz w:val="26"/>
        </w:rPr>
        <w:t>2.4 Dotation consomptible : choix nécessaire mais fiscalement coûteux</w:t>
      </w:r>
    </w:p>
    <w:p>
      <w:pPr>
        <w:keepLines w:val="0"/>
        <w:spacing w:before="0" w:after="80" w:line="269" w:lineRule="auto"/>
        <w:jc w:val="left"/>
      </w:pPr>
      <w:r>
        <w:rPr>
          <w:rFonts w:ascii="Nimbus Sans" w:hAnsi="Nimbus Sans" w:eastAsia="Nimbus Sans"/>
          <w:b w:val="0"/>
          <w:i w:val="0"/>
          <w:color w:val="222B35"/>
          <w:sz w:val="19"/>
        </w:rPr>
        <w:t>Par principe, le capital n'est pas consommable. Les statuts peuvent toutefois autoriser sa consommation et définir un plan annuel ou pluriannuel. Cette option est recommandée pour permettre une première redistribution fin 2028. Elle emporte, selon la doctrine gouvernementale en vigueur, la perte de l'exonération d'impôt sur les sociétés applicable aux revenus patrimoniaux d'un fonds à dotation non consomptible. [R3]</w:t>
      </w:r>
    </w:p>
    <w:tbl>
      <w:tblPr>
        <w:tblStyle w:val="TableGrid"/>
        <w:tblW w:type="dxa" w:w="9740"/>
        <w:jc w:val="left"/>
        <w:tblLayout w:type="fixed"/>
        <w:tblLook w:firstColumn="1" w:firstRow="1" w:lastColumn="0" w:lastRow="0" w:noHBand="0" w:noVBand="1" w:val="04A0"/>
        <w:tblInd w:w="120" w:type="dxa"/>
        <w:tblBorders>
          <w:top w:val="single" w:sz="6" w:color="D9DEE5"/>
          <w:left w:val="single" w:sz="6" w:color="D9DEE5"/>
          <w:bottom w:val="single" w:sz="6" w:color="D9DEE5"/>
          <w:right w:val="single" w:sz="6" w:color="D9DEE5"/>
          <w:insideH w:val="single" w:sz="6" w:color="D9DEE5"/>
          <w:insideV w:val="single" w:sz="6" w:color="D9DEE5"/>
        </w:tblBorders>
      </w:tblPr>
      <w:tblGrid>
        <w:gridCol w:w="1800"/>
        <w:gridCol w:w="2500"/>
        <w:gridCol w:w="2700"/>
        <w:gridCol w:w="2740"/>
      </w:tblGrid>
      <w:tr>
        <w:trPr>
          <w:tblHeader w:val="true"/>
          <w:cantSplit/>
        </w:trPr>
        <w:tc>
          <w:tcPr>
            <w:tcW w:type="dxa" w:w="18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Option</w:t>
            </w:r>
          </w:p>
        </w:tc>
        <w:tc>
          <w:tcPr>
            <w:tcW w:type="dxa" w:w="25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Avantage</w:t>
            </w:r>
          </w:p>
        </w:tc>
        <w:tc>
          <w:tcPr>
            <w:tcW w:type="dxa" w:w="27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Limite</w:t>
            </w:r>
          </w:p>
        </w:tc>
        <w:tc>
          <w:tcPr>
            <w:tcW w:type="dxa" w:w="274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Choix PLU</w:t>
            </w:r>
          </w:p>
        </w:tc>
      </w:tr>
      <w:tr>
        <w:trPr>
          <w:cantSplit/>
        </w:trPr>
        <w:tc>
          <w:tcPr>
            <w:tcW w:type="dxa" w:w="18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Non consomptible</w:t>
            </w:r>
          </w:p>
        </w:tc>
        <w:tc>
          <w:tcPr>
            <w:tcW w:type="dxa" w:w="25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Capital pérenne</w:t>
            </w:r>
          </w:p>
        </w:tc>
        <w:tc>
          <w:tcPr>
            <w:tcW w:type="dxa" w:w="27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Seuls les revenus sont distribuables</w:t>
            </w:r>
          </w:p>
        </w:tc>
        <w:tc>
          <w:tcPr>
            <w:tcW w:type="dxa" w:w="27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Incompatible avec un reversement rapide de 30 %</w:t>
            </w:r>
          </w:p>
        </w:tc>
      </w:tr>
      <w:tr>
        <w:trPr>
          <w:cantSplit/>
        </w:trPr>
        <w:tc>
          <w:tcPr>
            <w:tcW w:type="dxa" w:w="18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Consomptible</w:t>
            </w:r>
          </w:p>
        </w:tc>
        <w:tc>
          <w:tcPr>
            <w:tcW w:type="dxa" w:w="25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Capital mobilisable pour les projets</w:t>
            </w:r>
          </w:p>
        </w:tc>
        <w:tc>
          <w:tcPr>
            <w:tcW w:type="dxa" w:w="27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Fiscalité patrimoniale à budgéter</w:t>
            </w:r>
          </w:p>
        </w:tc>
        <w:tc>
          <w:tcPr>
            <w:tcW w:type="dxa" w:w="27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Recommandée, avec plancher interne</w:t>
            </w:r>
          </w:p>
        </w:tc>
      </w:tr>
    </w:tbl>
    <w:p>
      <w:pPr>
        <w:spacing w:after="40"/>
      </w:pPr>
    </w:p>
    <w:p>
      <w:pPr>
        <w:pStyle w:val="Heading2"/>
        <w:keepNext/>
      </w:pPr>
      <w:r>
        <w:rPr>
          <w:rFonts w:ascii="Nimbus Sans" w:hAnsi="Nimbus Sans" w:eastAsia="Nimbus Sans"/>
          <w:b/>
          <w:i w:val="0"/>
          <w:color w:val="2E6FA3"/>
          <w:sz w:val="26"/>
        </w:rPr>
        <w:t>2.5 Mécénat et intérêt général</w:t>
      </w:r>
    </w:p>
    <w:p>
      <w:pPr>
        <w:keepLines w:val="0"/>
        <w:spacing w:before="0" w:after="80" w:line="269" w:lineRule="auto"/>
        <w:jc w:val="left"/>
      </w:pPr>
      <w:r>
        <w:rPr>
          <w:rFonts w:ascii="Nimbus Sans" w:hAnsi="Nimbus Sans" w:eastAsia="Nimbus Sans"/>
          <w:b w:val="0"/>
          <w:i w:val="0"/>
          <w:color w:val="222B35"/>
          <w:sz w:val="19"/>
        </w:rPr>
        <w:t>La contribution de la SAS PLU peut relever du mécénat d'entreprise si le fonds exerce une activité d'intérêt général ou redistribue à des bénéficiaires éligibles, si sa gestion est désintéressée et si le versement n'emporte pas de contrepartie disproportionnée. La réduction d'impôt est, au 26 août 2026, de 60 % jusqu'à 2 M€ de dons puis 40 % au-delà, dans la limite de 20 000 € ou 0,5 % du chiffre d'affaires HT si ce montant est supérieur ; l'excédent est reportable sur cinq exercices. Le don n'est pas déductible du bénéfice imposable. [R4-R6]</w:t>
      </w:r>
    </w:p>
    <w:p>
      <w:pPr>
        <w:spacing w:before="100" w:after="140" w:line="264" w:lineRule="auto"/>
        <w:ind w:left="142" w:right="142"/>
        <w:shd w:fill="EAF5F0" w:val="clear"/>
        <w:pBdr>
          <w:left w:val="single" w:sz="20" w:space="6" w:color="2E765E"/>
        </w:pBdr>
      </w:pPr>
      <w:r>
        <w:rPr>
          <w:rFonts w:ascii="Nimbus Sans" w:hAnsi="Nimbus Sans" w:eastAsia="Nimbus Sans"/>
          <w:b/>
          <w:i w:val="0"/>
          <w:color w:val="2E765E"/>
          <w:sz w:val="18"/>
        </w:rPr>
        <w:t xml:space="preserve">RESCRIT RECOMMANDÉ  </w:t>
      </w:r>
      <w:r>
        <w:rPr>
          <w:rFonts w:ascii="Nimbus Sans" w:hAnsi="Nimbus Sans" w:eastAsia="Nimbus Sans"/>
          <w:b w:val="0"/>
          <w:i w:val="0"/>
          <w:color w:val="222B35"/>
          <w:sz w:val="18"/>
        </w:rPr>
        <w:t>Avant tout reçu fiscal, le fonds devra déposer un rescrit mécénat portant expressément sur son objet, la priorité donnée aux communes partenaires, les modalités de sélection et les redistributions à des collectivités territoriales. Le délai indicatif de réponse est de trois mois. [R10]</w:t>
      </w:r>
    </w:p>
    <w:p>
      <w:r>
        <w:br w:type="page"/>
      </w:r>
    </w:p>
    <w:p>
      <w:pPr>
        <w:pStyle w:val="Heading1"/>
        <w:keepNext/>
        <w:pageBreakBefore w:val="0"/>
        <w:pBdr>
          <w:left w:val="single" w:sz="18" w:space="8" w:color="C5A46D"/>
        </w:pBdr>
      </w:pPr>
      <w:r>
        <w:rPr>
          <w:rFonts w:ascii="Nimbus Sans" w:hAnsi="Nimbus Sans" w:eastAsia="Nimbus Sans"/>
          <w:b/>
          <w:i w:val="0"/>
          <w:color w:val="0F2747"/>
          <w:sz w:val="36"/>
        </w:rPr>
        <w:t>3. Mission, valeurs et périmètre d'intervention</w:t>
      </w:r>
    </w:p>
    <w:p>
      <w:pPr>
        <w:pStyle w:val="Heading2"/>
        <w:keepNext/>
      </w:pPr>
      <w:r>
        <w:rPr>
          <w:rFonts w:ascii="Nimbus Sans" w:hAnsi="Nimbus Sans" w:eastAsia="Nimbus Sans"/>
          <w:b/>
          <w:i w:val="0"/>
          <w:color w:val="2E6FA3"/>
          <w:sz w:val="26"/>
        </w:rPr>
        <w:t>3.1 Mission proposée</w:t>
      </w:r>
    </w:p>
    <w:p>
      <w:pPr>
        <w:spacing w:before="100" w:after="140" w:line="264" w:lineRule="auto"/>
        <w:ind w:left="142" w:right="142"/>
        <w:shd w:fill="EAF1F7" w:val="clear"/>
        <w:pBdr>
          <w:left w:val="single" w:sz="20" w:space="6" w:color="2E6FA3"/>
        </w:pBdr>
      </w:pPr>
      <w:r>
        <w:rPr>
          <w:rFonts w:ascii="Nimbus Sans" w:hAnsi="Nimbus Sans" w:eastAsia="Nimbus Sans"/>
          <w:b/>
          <w:i w:val="0"/>
          <w:color w:val="2E6FA3"/>
          <w:sz w:val="18"/>
        </w:rPr>
        <w:t xml:space="preserve">OBJET STATUTAIRE - BASE DE RÉDACTION  </w:t>
      </w:r>
      <w:r>
        <w:rPr>
          <w:rFonts w:ascii="Nimbus Sans" w:hAnsi="Nimbus Sans" w:eastAsia="Nimbus Sans"/>
          <w:b w:val="0"/>
          <w:i w:val="0"/>
          <w:color w:val="222B35"/>
          <w:sz w:val="18"/>
        </w:rPr>
        <w:t>Le Fonds de dotation PLU.immo a pour objet de concevoir, soutenir, financer et valoriser, sur le territoire français, des actions d'intérêt général concourant à la qualité architecturale et paysagère, à l'accès à la culture, à la sauvegarde et à la transmission du patrimoine bâti ou immatériel, ainsi qu'à l'émergence d'habitats partagés, participatifs ou inclusifs, en priorité dans les communes présentant les plus faibles capacités démographiques, financières ou d'ingénierie.</w:t>
      </w:r>
    </w:p>
    <w:p>
      <w:pPr>
        <w:pStyle w:val="Heading2"/>
        <w:keepNext/>
      </w:pPr>
      <w:r>
        <w:rPr>
          <w:rFonts w:ascii="Nimbus Sans" w:hAnsi="Nimbus Sans" w:eastAsia="Nimbus Sans"/>
          <w:b/>
          <w:i w:val="0"/>
          <w:color w:val="2E6FA3"/>
          <w:sz w:val="26"/>
        </w:rPr>
        <w:t>3.2 Principes directeurs</w:t>
      </w:r>
    </w:p>
    <w:tbl>
      <w:tblPr>
        <w:tblStyle w:val="TableGrid"/>
        <w:tblW w:type="dxa" w:w="9740"/>
        <w:jc w:val="left"/>
        <w:tblLayout w:type="fixed"/>
        <w:tblLook w:firstColumn="1" w:firstRow="1" w:lastColumn="0" w:lastRow="0" w:noHBand="0" w:noVBand="1" w:val="04A0"/>
        <w:tblInd w:w="120" w:type="dxa"/>
        <w:tblBorders>
          <w:top w:val="single" w:sz="6" w:color="D9DEE5"/>
          <w:left w:val="single" w:sz="6" w:color="D9DEE5"/>
          <w:bottom w:val="single" w:sz="6" w:color="D9DEE5"/>
          <w:right w:val="single" w:sz="6" w:color="D9DEE5"/>
          <w:insideH w:val="single" w:sz="6" w:color="D9DEE5"/>
          <w:insideV w:val="single" w:sz="6" w:color="D9DEE5"/>
        </w:tblBorders>
      </w:tblPr>
      <w:tblGrid>
        <w:gridCol w:w="2200"/>
        <w:gridCol w:w="7540"/>
      </w:tblGrid>
      <w:tr>
        <w:trPr>
          <w:tblHeader w:val="true"/>
          <w:cantSplit/>
        </w:trPr>
        <w:tc>
          <w:tcPr>
            <w:tcW w:type="dxa" w:w="22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Principe</w:t>
            </w:r>
          </w:p>
        </w:tc>
        <w:tc>
          <w:tcPr>
            <w:tcW w:type="dxa" w:w="754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Application</w:t>
            </w:r>
          </w:p>
        </w:tc>
      </w:tr>
      <w:tr>
        <w:trPr>
          <w:cantSplit/>
        </w:trPr>
        <w:tc>
          <w:tcPr>
            <w:tcW w:type="dxa" w:w="22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Intérêt général</w:t>
            </w:r>
          </w:p>
        </w:tc>
        <w:tc>
          <w:tcPr>
            <w:tcW w:type="dxa" w:w="75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Bénéfice collectif, accès non discriminatoire et absence d'avantage privé dominant.</w:t>
            </w:r>
          </w:p>
        </w:tc>
      </w:tr>
      <w:tr>
        <w:trPr>
          <w:cantSplit/>
        </w:trPr>
        <w:tc>
          <w:tcPr>
            <w:tcW w:type="dxa" w:w="22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Équité territoriale</w:t>
            </w:r>
          </w:p>
        </w:tc>
        <w:tc>
          <w:tcPr>
            <w:tcW w:type="dxa" w:w="75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Priorité à la faiblesse des ressources et de l'ingénierie locales, comparées à la strate de population.</w:t>
            </w:r>
          </w:p>
        </w:tc>
      </w:tr>
      <w:tr>
        <w:trPr>
          <w:cantSplit/>
        </w:trPr>
        <w:tc>
          <w:tcPr>
            <w:tcW w:type="dxa" w:w="22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Indépendance</w:t>
            </w:r>
          </w:p>
        </w:tc>
        <w:tc>
          <w:tcPr>
            <w:tcW w:type="dxa" w:w="75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Aucune subvention ne constitue une contrepartie à la redevance PLU ou à un partenariat commercial.</w:t>
            </w:r>
          </w:p>
        </w:tc>
      </w:tr>
      <w:tr>
        <w:trPr>
          <w:cantSplit/>
        </w:trPr>
        <w:tc>
          <w:tcPr>
            <w:tcW w:type="dxa" w:w="22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Traçabilité</w:t>
            </w:r>
          </w:p>
        </w:tc>
        <w:tc>
          <w:tcPr>
            <w:tcW w:type="dxa" w:w="75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Chaque euro entrant, engagé et décaissé est rattaché à une décision, une convention et un justificatif.</w:t>
            </w:r>
          </w:p>
        </w:tc>
      </w:tr>
      <w:tr>
        <w:trPr>
          <w:cantSplit/>
        </w:trPr>
        <w:tc>
          <w:tcPr>
            <w:tcW w:type="dxa" w:w="22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Sobriété</w:t>
            </w:r>
          </w:p>
        </w:tc>
        <w:tc>
          <w:tcPr>
            <w:tcW w:type="dxa" w:w="75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Frais administratifs plafonnés ; priorité aux dépenses directement utiles aux projets.</w:t>
            </w:r>
          </w:p>
        </w:tc>
      </w:tr>
      <w:tr>
        <w:trPr>
          <w:cantSplit/>
        </w:trPr>
        <w:tc>
          <w:tcPr>
            <w:tcW w:type="dxa" w:w="22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Transmission</w:t>
            </w:r>
          </w:p>
        </w:tc>
        <w:tc>
          <w:tcPr>
            <w:tcW w:type="dxa" w:w="75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Les méthodes, études et retours d'expérience sont diffusés lorsque les droits le permettent.</w:t>
            </w:r>
          </w:p>
        </w:tc>
      </w:tr>
    </w:tbl>
    <w:p>
      <w:pPr>
        <w:spacing w:after="40"/>
      </w:pPr>
    </w:p>
    <w:p>
      <w:pPr>
        <w:pStyle w:val="Heading2"/>
        <w:keepNext/>
      </w:pPr>
      <w:r>
        <w:rPr>
          <w:rFonts w:ascii="Nimbus Sans" w:hAnsi="Nimbus Sans" w:eastAsia="Nimbus Sans"/>
          <w:b/>
          <w:i w:val="0"/>
          <w:color w:val="2E6FA3"/>
          <w:sz w:val="26"/>
        </w:rPr>
        <w:t>3.3 Trois axes programmatiques</w:t>
      </w:r>
    </w:p>
    <w:p>
      <w:pPr>
        <w:pStyle w:val="Heading3"/>
        <w:keepNext/>
      </w:pPr>
      <w:r>
        <w:rPr>
          <w:rFonts w:ascii="Nimbus Sans" w:hAnsi="Nimbus Sans" w:eastAsia="Nimbus Sans"/>
          <w:b/>
          <w:i w:val="0"/>
          <w:color w:val="C8102E"/>
          <w:sz w:val="21"/>
        </w:rPr>
        <w:t>Axe A - Architecture et qualité d'usage</w:t>
      </w:r>
    </w:p>
    <w:p>
      <w:pPr>
        <w:pStyle w:val="ListBullet"/>
        <w:spacing w:after="0" w:line="259" w:lineRule="auto"/>
        <w:ind w:left="312" w:hanging="125"/>
      </w:pPr>
      <w:r>
        <w:rPr>
          <w:rFonts w:ascii="Nimbus Sans" w:hAnsi="Nimbus Sans" w:eastAsia="Nimbus Sans"/>
          <w:b w:val="0"/>
          <w:i w:val="0"/>
          <w:color w:val="222B35"/>
          <w:sz w:val="18"/>
        </w:rPr>
        <w:t>études pré-opérationnelles et programmations architecturales ;</w:t>
      </w:r>
    </w:p>
    <w:p>
      <w:pPr>
        <w:pStyle w:val="ListBullet"/>
        <w:spacing w:after="0" w:line="259" w:lineRule="auto"/>
        <w:ind w:left="312" w:hanging="125"/>
      </w:pPr>
      <w:r>
        <w:rPr>
          <w:rFonts w:ascii="Nimbus Sans" w:hAnsi="Nimbus Sans" w:eastAsia="Nimbus Sans"/>
          <w:b w:val="0"/>
          <w:i w:val="0"/>
          <w:color w:val="222B35"/>
          <w:sz w:val="18"/>
        </w:rPr>
        <w:t>concours, ateliers, maquettes, diagnostics de transformation et concertation ;</w:t>
      </w:r>
    </w:p>
    <w:p>
      <w:pPr>
        <w:pStyle w:val="ListBullet"/>
        <w:spacing w:after="0" w:line="259" w:lineRule="auto"/>
        <w:ind w:left="312" w:hanging="125"/>
      </w:pPr>
      <w:r>
        <w:rPr>
          <w:rFonts w:ascii="Nimbus Sans" w:hAnsi="Nimbus Sans" w:eastAsia="Nimbus Sans"/>
          <w:b w:val="0"/>
          <w:i w:val="0"/>
          <w:color w:val="222B35"/>
          <w:sz w:val="18"/>
        </w:rPr>
        <w:t>innovation constructive, réemploi, accessibilité, qualité d'usage et intégration paysagère ;</w:t>
      </w:r>
    </w:p>
    <w:p>
      <w:pPr>
        <w:pStyle w:val="ListBullet"/>
        <w:spacing w:after="0" w:line="259" w:lineRule="auto"/>
        <w:ind w:left="312" w:hanging="125"/>
      </w:pPr>
      <w:r>
        <w:rPr>
          <w:rFonts w:ascii="Nimbus Sans" w:hAnsi="Nimbus Sans" w:eastAsia="Nimbus Sans"/>
          <w:b w:val="0"/>
          <w:i w:val="0"/>
          <w:color w:val="222B35"/>
          <w:sz w:val="18"/>
        </w:rPr>
        <w:t>habitat partagé, participatif et inclusif à finalité non lucrative ou sociale.</w:t>
      </w:r>
    </w:p>
    <w:p>
      <w:pPr>
        <w:pStyle w:val="Heading3"/>
        <w:keepNext/>
      </w:pPr>
      <w:r>
        <w:rPr>
          <w:rFonts w:ascii="Nimbus Sans" w:hAnsi="Nimbus Sans" w:eastAsia="Nimbus Sans"/>
          <w:b/>
          <w:i w:val="0"/>
          <w:color w:val="C8102E"/>
          <w:sz w:val="21"/>
        </w:rPr>
        <w:t>Axe B - Culture et transmission</w:t>
      </w:r>
    </w:p>
    <w:p>
      <w:pPr>
        <w:pStyle w:val="ListBullet"/>
        <w:spacing w:after="0" w:line="259" w:lineRule="auto"/>
        <w:ind w:left="312" w:hanging="125"/>
      </w:pPr>
      <w:r>
        <w:rPr>
          <w:rFonts w:ascii="Nimbus Sans" w:hAnsi="Nimbus Sans" w:eastAsia="Nimbus Sans"/>
          <w:b w:val="0"/>
          <w:i w:val="0"/>
          <w:color w:val="222B35"/>
          <w:sz w:val="18"/>
        </w:rPr>
        <w:t>résidences d'artistes, médiation et création dans les petites communes ;</w:t>
      </w:r>
    </w:p>
    <w:p>
      <w:pPr>
        <w:pStyle w:val="ListBullet"/>
        <w:spacing w:after="0" w:line="259" w:lineRule="auto"/>
        <w:ind w:left="312" w:hanging="125"/>
      </w:pPr>
      <w:r>
        <w:rPr>
          <w:rFonts w:ascii="Nimbus Sans" w:hAnsi="Nimbus Sans" w:eastAsia="Nimbus Sans"/>
          <w:b w:val="0"/>
          <w:i w:val="0"/>
          <w:color w:val="222B35"/>
          <w:sz w:val="18"/>
        </w:rPr>
        <w:t>actions associant les habitants, les écoles et les publics éloignés ;</w:t>
      </w:r>
    </w:p>
    <w:p>
      <w:pPr>
        <w:pStyle w:val="ListBullet"/>
        <w:spacing w:after="0" w:line="259" w:lineRule="auto"/>
        <w:ind w:left="312" w:hanging="125"/>
      </w:pPr>
      <w:r>
        <w:rPr>
          <w:rFonts w:ascii="Nimbus Sans" w:hAnsi="Nimbus Sans" w:eastAsia="Nimbus Sans"/>
          <w:b w:val="0"/>
          <w:i w:val="0"/>
          <w:color w:val="222B35"/>
          <w:sz w:val="18"/>
        </w:rPr>
        <w:t>diffusion artistique, mémoire locale, archives orales et outils numériques d'accès à la culture ;</w:t>
      </w:r>
    </w:p>
    <w:p>
      <w:pPr>
        <w:pStyle w:val="ListBullet"/>
        <w:spacing w:after="0" w:line="259" w:lineRule="auto"/>
        <w:ind w:left="312" w:hanging="125"/>
      </w:pPr>
      <w:r>
        <w:rPr>
          <w:rFonts w:ascii="Nimbus Sans" w:hAnsi="Nimbus Sans" w:eastAsia="Nimbus Sans"/>
          <w:b w:val="0"/>
          <w:i w:val="0"/>
          <w:color w:val="222B35"/>
          <w:sz w:val="18"/>
        </w:rPr>
        <w:t>aménagement léger de lieux culturels publics ou associatifs non lucratifs.</w:t>
      </w:r>
    </w:p>
    <w:p>
      <w:pPr>
        <w:pStyle w:val="Heading3"/>
        <w:keepNext/>
      </w:pPr>
      <w:r>
        <w:rPr>
          <w:rFonts w:ascii="Nimbus Sans" w:hAnsi="Nimbus Sans" w:eastAsia="Nimbus Sans"/>
          <w:b/>
          <w:i w:val="0"/>
          <w:color w:val="C8102E"/>
          <w:sz w:val="21"/>
        </w:rPr>
        <w:t>Axe C - Patrimoine bâti, paysager et savoir-faire</w:t>
      </w:r>
    </w:p>
    <w:p>
      <w:pPr>
        <w:pStyle w:val="ListBullet"/>
        <w:spacing w:after="0" w:line="259" w:lineRule="auto"/>
        <w:ind w:left="312" w:hanging="125"/>
      </w:pPr>
      <w:r>
        <w:rPr>
          <w:rFonts w:ascii="Nimbus Sans" w:hAnsi="Nimbus Sans" w:eastAsia="Nimbus Sans"/>
          <w:b w:val="0"/>
          <w:i w:val="0"/>
          <w:color w:val="222B35"/>
          <w:sz w:val="18"/>
        </w:rPr>
        <w:t>diagnostics sanitaires, études historiques, relevés et plans de sauvegarde ;</w:t>
      </w:r>
    </w:p>
    <w:p>
      <w:pPr>
        <w:pStyle w:val="ListBullet"/>
        <w:spacing w:after="0" w:line="259" w:lineRule="auto"/>
        <w:ind w:left="312" w:hanging="125"/>
      </w:pPr>
      <w:r>
        <w:rPr>
          <w:rFonts w:ascii="Nimbus Sans" w:hAnsi="Nimbus Sans" w:eastAsia="Nimbus Sans"/>
          <w:b w:val="0"/>
          <w:i w:val="0"/>
          <w:color w:val="222B35"/>
          <w:sz w:val="18"/>
        </w:rPr>
        <w:t>travaux urgents de conservation ou restauration d'un bien public accessible ;</w:t>
      </w:r>
    </w:p>
    <w:p>
      <w:pPr>
        <w:pStyle w:val="ListBullet"/>
        <w:spacing w:after="0" w:line="259" w:lineRule="auto"/>
        <w:ind w:left="312" w:hanging="125"/>
      </w:pPr>
      <w:r>
        <w:rPr>
          <w:rFonts w:ascii="Nimbus Sans" w:hAnsi="Nimbus Sans" w:eastAsia="Nimbus Sans"/>
          <w:b w:val="0"/>
          <w:i w:val="0"/>
          <w:color w:val="222B35"/>
          <w:sz w:val="18"/>
        </w:rPr>
        <w:t>transmission des métiers et savoir-faire locaux ;</w:t>
      </w:r>
    </w:p>
    <w:p>
      <w:pPr>
        <w:pStyle w:val="ListBullet"/>
        <w:spacing w:after="0" w:line="259" w:lineRule="auto"/>
        <w:ind w:left="312" w:hanging="125"/>
      </w:pPr>
      <w:r>
        <w:rPr>
          <w:rFonts w:ascii="Nimbus Sans" w:hAnsi="Nimbus Sans" w:eastAsia="Nimbus Sans"/>
          <w:b w:val="0"/>
          <w:i w:val="0"/>
          <w:color w:val="222B35"/>
          <w:sz w:val="18"/>
        </w:rPr>
        <w:t>mise en valeur sobre, accessible et documentée du patrimoine.</w:t>
      </w:r>
    </w:p>
    <w:p>
      <w:pPr>
        <w:pStyle w:val="Heading2"/>
        <w:keepNext/>
      </w:pPr>
      <w:r>
        <w:rPr>
          <w:rFonts w:ascii="Nimbus Sans" w:hAnsi="Nimbus Sans" w:eastAsia="Nimbus Sans"/>
          <w:b/>
          <w:i w:val="0"/>
          <w:color w:val="2E6FA3"/>
          <w:sz w:val="26"/>
        </w:rPr>
        <w:t>3.4 Dépenses exclues</w:t>
      </w:r>
    </w:p>
    <w:p>
      <w:pPr>
        <w:pStyle w:val="ListBullet"/>
        <w:spacing w:after="0" w:line="259" w:lineRule="auto"/>
        <w:ind w:left="312" w:hanging="125"/>
      </w:pPr>
      <w:r>
        <w:rPr>
          <w:rFonts w:ascii="Nimbus Sans" w:hAnsi="Nimbus Sans" w:eastAsia="Nimbus Sans"/>
          <w:b w:val="0"/>
          <w:i w:val="0"/>
          <w:color w:val="222B35"/>
          <w:sz w:val="18"/>
        </w:rPr>
        <w:t>fonctionnement courant d'une mairie, déficit budgétaire ou rémunération d'élus ;</w:t>
      </w:r>
    </w:p>
    <w:p>
      <w:pPr>
        <w:pStyle w:val="ListBullet"/>
        <w:spacing w:after="0" w:line="259" w:lineRule="auto"/>
        <w:ind w:left="312" w:hanging="125"/>
      </w:pPr>
      <w:r>
        <w:rPr>
          <w:rFonts w:ascii="Nimbus Sans" w:hAnsi="Nimbus Sans" w:eastAsia="Nimbus Sans"/>
          <w:b w:val="0"/>
          <w:i w:val="0"/>
          <w:color w:val="222B35"/>
          <w:sz w:val="18"/>
        </w:rPr>
        <w:t>projet à finalité commerciale dominante, actif privé sans accès ou intérêt collectif démontré ;</w:t>
      </w:r>
    </w:p>
    <w:p>
      <w:pPr>
        <w:pStyle w:val="ListBullet"/>
        <w:spacing w:after="0" w:line="259" w:lineRule="auto"/>
        <w:ind w:left="312" w:hanging="125"/>
      </w:pPr>
      <w:r>
        <w:rPr>
          <w:rFonts w:ascii="Nimbus Sans" w:hAnsi="Nimbus Sans" w:eastAsia="Nimbus Sans"/>
          <w:b w:val="0"/>
          <w:i w:val="0"/>
          <w:color w:val="222B35"/>
          <w:sz w:val="18"/>
        </w:rPr>
        <w:t>dépense engagée avant la convention, sauf autorisation écrite exceptionnelle ;</w:t>
      </w:r>
    </w:p>
    <w:p>
      <w:pPr>
        <w:pStyle w:val="ListBullet"/>
        <w:spacing w:after="0" w:line="259" w:lineRule="auto"/>
        <w:ind w:left="312" w:hanging="125"/>
      </w:pPr>
      <w:r>
        <w:rPr>
          <w:rFonts w:ascii="Nimbus Sans" w:hAnsi="Nimbus Sans" w:eastAsia="Nimbus Sans"/>
          <w:b w:val="0"/>
          <w:i w:val="0"/>
          <w:color w:val="222B35"/>
          <w:sz w:val="18"/>
        </w:rPr>
        <w:t>communication institutionnelle sans action culturelle, architecturale ou patrimoniale substantielle ;</w:t>
      </w:r>
    </w:p>
    <w:p>
      <w:pPr>
        <w:pStyle w:val="ListBullet"/>
        <w:spacing w:after="0" w:line="259" w:lineRule="auto"/>
        <w:ind w:left="312" w:hanging="125"/>
      </w:pPr>
      <w:r>
        <w:rPr>
          <w:rFonts w:ascii="Nimbus Sans" w:hAnsi="Nimbus Sans" w:eastAsia="Nimbus Sans"/>
          <w:b w:val="0"/>
          <w:i w:val="0"/>
          <w:color w:val="222B35"/>
          <w:sz w:val="18"/>
        </w:rPr>
        <w:t>achat auprès de la SAS PLU, de ses dirigeants, de ses associés ou d'un administrateur du fonds ;</w:t>
      </w:r>
    </w:p>
    <w:p>
      <w:pPr>
        <w:pStyle w:val="ListBullet"/>
        <w:spacing w:after="0" w:line="259" w:lineRule="auto"/>
        <w:ind w:left="312" w:hanging="125"/>
      </w:pPr>
      <w:r>
        <w:rPr>
          <w:rFonts w:ascii="Nimbus Sans" w:hAnsi="Nimbus Sans" w:eastAsia="Nimbus Sans"/>
          <w:b w:val="0"/>
          <w:i w:val="0"/>
          <w:color w:val="222B35"/>
          <w:sz w:val="18"/>
        </w:rPr>
        <w:t>opération ne respectant pas le droit de la commande publique, les autorisations d'urbanisme, la propriété intellectuelle ou les règles de sécurité.</w:t>
      </w:r>
    </w:p>
    <w:p>
      <w:r>
        <w:br w:type="page"/>
      </w:r>
    </w:p>
    <w:p>
      <w:pPr>
        <w:pStyle w:val="Heading1"/>
        <w:keepNext/>
        <w:pageBreakBefore w:val="0"/>
        <w:pBdr>
          <w:left w:val="single" w:sz="18" w:space="8" w:color="C5A46D"/>
        </w:pBdr>
      </w:pPr>
      <w:r>
        <w:rPr>
          <w:rFonts w:ascii="Nimbus Sans" w:hAnsi="Nimbus Sans" w:eastAsia="Nimbus Sans"/>
          <w:b/>
          <w:i w:val="0"/>
          <w:color w:val="0F2747"/>
          <w:sz w:val="36"/>
        </w:rPr>
        <w:t>4. Engagement de 30 % et circuit financier</w:t>
      </w:r>
    </w:p>
    <w:p>
      <w:pPr>
        <w:pStyle w:val="Heading2"/>
        <w:keepNext/>
      </w:pPr>
      <w:r>
        <w:rPr>
          <w:rFonts w:ascii="Nimbus Sans" w:hAnsi="Nimbus Sans" w:eastAsia="Nimbus Sans"/>
          <w:b/>
          <w:i w:val="0"/>
          <w:color w:val="2E6FA3"/>
          <w:sz w:val="26"/>
        </w:rPr>
        <w:t>4.1 Définition contractuelle de l'assiette</w:t>
      </w:r>
    </w:p>
    <w:p>
      <w:pPr>
        <w:keepLines w:val="0"/>
        <w:spacing w:before="0" w:after="80" w:line="269" w:lineRule="auto"/>
        <w:jc w:val="left"/>
      </w:pPr>
      <w:r>
        <w:rPr>
          <w:rFonts w:ascii="Nimbus Sans" w:hAnsi="Nimbus Sans" w:eastAsia="Nimbus Sans"/>
          <w:b w:val="0"/>
          <w:i w:val="0"/>
          <w:color w:val="222B35"/>
          <w:sz w:val="19"/>
        </w:rPr>
        <w:t>Afin d'éviter toute ambiguïté, l'engagement commercial « 30 % des bénéfices liés aux partenariats » doit être défini dans une convention pluriannuelle entre la SAS PLU et le fonds, approuvée par les organes compétents de chacune des entités.</w:t>
      </w:r>
    </w:p>
    <w:p>
      <w:pPr>
        <w:spacing w:before="100" w:after="140" w:line="264" w:lineRule="auto"/>
        <w:ind w:left="142" w:right="142"/>
        <w:shd w:fill="F7F1E7" w:val="clear"/>
        <w:pBdr>
          <w:left w:val="single" w:sz="20" w:space="6" w:color="C5A46D"/>
        </w:pBdr>
      </w:pPr>
      <w:r>
        <w:rPr>
          <w:rFonts w:ascii="Nimbus Sans" w:hAnsi="Nimbus Sans" w:eastAsia="Nimbus Sans"/>
          <w:b/>
          <w:i w:val="0"/>
          <w:color w:val="C5A46D"/>
          <w:sz w:val="18"/>
        </w:rPr>
        <w:t xml:space="preserve">FORMULE PROPOSÉE  </w:t>
      </w:r>
      <w:r>
        <w:rPr>
          <w:rFonts w:ascii="Nimbus Sans" w:hAnsi="Nimbus Sans" w:eastAsia="Nimbus Sans"/>
          <w:b w:val="0"/>
          <w:i w:val="0"/>
          <w:color w:val="222B35"/>
          <w:sz w:val="18"/>
        </w:rPr>
        <w:t>Contribution PLU de l'exercice N = 30 % × max(0 ; résultat net contributif Partenariats N).</w:t>
      </w:r>
    </w:p>
    <w:p>
      <w:pPr>
        <w:keepLines w:val="0"/>
        <w:spacing w:before="0" w:after="80" w:line="269" w:lineRule="auto"/>
        <w:jc w:val="left"/>
      </w:pPr>
      <w:r>
        <w:rPr>
          <w:rFonts w:ascii="Nimbus Sans" w:hAnsi="Nimbus Sans" w:eastAsia="Nimbus Sans"/>
          <w:b w:val="0"/>
          <w:i w:val="0"/>
          <w:color w:val="222B35"/>
          <w:sz w:val="19"/>
        </w:rPr>
        <w:t>Le résultat net contributif Partenariats correspond au résultat analytique des activités suivantes : redevances et licences communales, abonnements ou accords de partenariat professionnel, commissions et prestations expressément rattachées au centre analytique « Partenariats ». Il est calculé après coûts directs, quote-part documentée des coûts communs et impôt théorique, mais avant comptabilisation de la contribution elle-même. Sont exclus les plus-values de cession, produits financiers, indemnités exceptionnelles, opérations immobilières et subventions.</w:t>
      </w:r>
    </w:p>
    <w:p>
      <w:pPr>
        <w:pStyle w:val="Heading2"/>
        <w:keepNext/>
      </w:pPr>
      <w:r>
        <w:rPr>
          <w:rFonts w:ascii="Nimbus Sans" w:hAnsi="Nimbus Sans" w:eastAsia="Nimbus Sans"/>
          <w:b/>
          <w:i w:val="0"/>
          <w:color w:val="2E6FA3"/>
          <w:sz w:val="26"/>
        </w:rPr>
        <w:t>4.2 Processus de détermination et de versement</w:t>
      </w:r>
    </w:p>
    <w:tbl>
      <w:tblPr>
        <w:tblStyle w:val="TableGrid"/>
        <w:tblW w:type="dxa" w:w="9740"/>
        <w:jc w:val="left"/>
        <w:tblLayout w:type="fixed"/>
        <w:tblLook w:firstColumn="1" w:firstRow="1" w:lastColumn="0" w:lastRow="0" w:noHBand="0" w:noVBand="1" w:val="04A0"/>
        <w:tblInd w:w="120" w:type="dxa"/>
        <w:tblBorders>
          <w:top w:val="single" w:sz="6" w:color="D9DEE5"/>
          <w:left w:val="single" w:sz="6" w:color="D9DEE5"/>
          <w:bottom w:val="single" w:sz="6" w:color="D9DEE5"/>
          <w:right w:val="single" w:sz="6" w:color="D9DEE5"/>
          <w:insideH w:val="single" w:sz="6" w:color="D9DEE5"/>
          <w:insideV w:val="single" w:sz="6" w:color="D9DEE5"/>
        </w:tblBorders>
      </w:tblPr>
      <w:tblGrid>
        <w:gridCol w:w="1900"/>
        <w:gridCol w:w="7840"/>
      </w:tblGrid>
      <w:tr>
        <w:trPr>
          <w:tblHeader w:val="true"/>
          <w:cantSplit/>
        </w:trPr>
        <w:tc>
          <w:tcPr>
            <w:tcW w:type="dxa" w:w="19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Étape</w:t>
            </w:r>
          </w:p>
        </w:tc>
        <w:tc>
          <w:tcPr>
            <w:tcW w:type="dxa" w:w="784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Règle</w:t>
            </w:r>
          </w:p>
        </w:tc>
      </w:tr>
      <w:tr>
        <w:trPr>
          <w:cantSplit/>
        </w:trPr>
        <w:tc>
          <w:tcPr>
            <w:tcW w:type="dxa" w:w="19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Clôture</w:t>
            </w:r>
          </w:p>
        </w:tc>
        <w:tc>
          <w:tcPr>
            <w:tcW w:type="dxa" w:w="78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La SAS PLU clôture ses comptes et arrête le résultat analytique Partenariats.</w:t>
            </w:r>
          </w:p>
        </w:tc>
      </w:tr>
      <w:tr>
        <w:trPr>
          <w:cantSplit/>
        </w:trPr>
        <w:tc>
          <w:tcPr>
            <w:tcW w:type="dxa" w:w="19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Attestation</w:t>
            </w:r>
          </w:p>
        </w:tc>
        <w:tc>
          <w:tcPr>
            <w:tcW w:type="dxa" w:w="78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Son expert-comptable établit une note de calcul ; le commissaire aux comptes de la SAS, s'il existe, peut délivrer une attestation distincte.</w:t>
            </w:r>
          </w:p>
        </w:tc>
      </w:tr>
      <w:tr>
        <w:trPr>
          <w:cantSplit/>
        </w:trPr>
        <w:tc>
          <w:tcPr>
            <w:tcW w:type="dxa" w:w="19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Décision</w:t>
            </w:r>
          </w:p>
        </w:tc>
        <w:tc>
          <w:tcPr>
            <w:tcW w:type="dxa" w:w="78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L'organe compétent de la SAS décide la libéralité dans l'intérêt social, sans droit de reprise ni contrepartie commerciale.</w:t>
            </w:r>
          </w:p>
        </w:tc>
      </w:tr>
      <w:tr>
        <w:trPr>
          <w:cantSplit/>
        </w:trPr>
        <w:tc>
          <w:tcPr>
            <w:tcW w:type="dxa" w:w="19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Acceptation</w:t>
            </w:r>
          </w:p>
        </w:tc>
        <w:tc>
          <w:tcPr>
            <w:tcW w:type="dxa" w:w="78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Le conseil du fonds accepte expressément le don et vérifie l'absence de charge incompatible.</w:t>
            </w:r>
          </w:p>
        </w:tc>
      </w:tr>
      <w:tr>
        <w:trPr>
          <w:cantSplit/>
        </w:trPr>
        <w:tc>
          <w:tcPr>
            <w:tcW w:type="dxa" w:w="19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Virement</w:t>
            </w:r>
          </w:p>
        </w:tc>
        <w:tc>
          <w:tcPr>
            <w:tcW w:type="dxa" w:w="78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La contribution est versée dans les 60 jours suivant l'approbation des comptes, au plus tard le 30 juin N+1 si la clôture intervient au 31 décembre.</w:t>
            </w:r>
          </w:p>
        </w:tc>
      </w:tr>
      <w:tr>
        <w:trPr>
          <w:cantSplit/>
        </w:trPr>
        <w:tc>
          <w:tcPr>
            <w:tcW w:type="dxa" w:w="19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Reçu</w:t>
            </w:r>
          </w:p>
        </w:tc>
        <w:tc>
          <w:tcPr>
            <w:tcW w:type="dxa" w:w="78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Le fonds délivre un justificatif fiscal seulement après sécurisation de son éligibilité au mécénat.</w:t>
            </w:r>
          </w:p>
        </w:tc>
      </w:tr>
    </w:tbl>
    <w:p>
      <w:pPr>
        <w:spacing w:after="40"/>
      </w:pPr>
    </w:p>
    <w:p>
      <w:pPr>
        <w:pStyle w:val="Heading2"/>
        <w:keepNext/>
      </w:pPr>
      <w:r>
        <w:rPr>
          <w:rFonts w:ascii="Nimbus Sans" w:hAnsi="Nimbus Sans" w:eastAsia="Nimbus Sans"/>
          <w:b/>
          <w:i w:val="0"/>
          <w:color w:val="2E6FA3"/>
          <w:sz w:val="26"/>
        </w:rPr>
        <w:t>4.3 Séparation des flux</w:t>
      </w:r>
    </w:p>
    <w:p>
      <w:pPr>
        <w:pStyle w:val="ListBullet"/>
        <w:spacing w:after="40" w:line="259" w:lineRule="auto"/>
        <w:ind w:left="312" w:hanging="125"/>
      </w:pPr>
      <w:r>
        <w:rPr>
          <w:rFonts w:ascii="Nimbus Sans" w:hAnsi="Nimbus Sans" w:eastAsia="Nimbus Sans"/>
          <w:b w:val="0"/>
          <w:i w:val="0"/>
          <w:color w:val="222B35"/>
          <w:sz w:val="18"/>
        </w:rPr>
        <w:t>aucun compte courant, avance, prêt ou cash-pooling entre le fonds et la SAS PLU ;</w:t>
      </w:r>
    </w:p>
    <w:p>
      <w:pPr>
        <w:pStyle w:val="ListBullet"/>
        <w:spacing w:after="40" w:line="259" w:lineRule="auto"/>
        <w:ind w:left="312" w:hanging="125"/>
      </w:pPr>
      <w:r>
        <w:rPr>
          <w:rFonts w:ascii="Nimbus Sans" w:hAnsi="Nimbus Sans" w:eastAsia="Nimbus Sans"/>
          <w:b w:val="0"/>
          <w:i w:val="0"/>
          <w:color w:val="222B35"/>
          <w:sz w:val="18"/>
        </w:rPr>
        <w:t>aucune faculté pour la SAS de reprendre, compenser ou reporter un don après son acceptation ;</w:t>
      </w:r>
    </w:p>
    <w:p>
      <w:pPr>
        <w:pStyle w:val="ListBullet"/>
        <w:spacing w:after="40" w:line="259" w:lineRule="auto"/>
        <w:ind w:left="312" w:hanging="125"/>
      </w:pPr>
      <w:r>
        <w:rPr>
          <w:rFonts w:ascii="Nimbus Sans" w:hAnsi="Nimbus Sans" w:eastAsia="Nimbus Sans"/>
          <w:b w:val="0"/>
          <w:i w:val="0"/>
          <w:color w:val="222B35"/>
          <w:sz w:val="18"/>
        </w:rPr>
        <w:t>aucun fléchage d'une redevance communale déterminée vers un projet de cette même commune ;</w:t>
      </w:r>
    </w:p>
    <w:p>
      <w:pPr>
        <w:pStyle w:val="ListBullet"/>
        <w:spacing w:after="40" w:line="259" w:lineRule="auto"/>
        <w:ind w:left="312" w:hanging="125"/>
      </w:pPr>
      <w:r>
        <w:rPr>
          <w:rFonts w:ascii="Nimbus Sans" w:hAnsi="Nimbus Sans" w:eastAsia="Nimbus Sans"/>
          <w:b w:val="0"/>
          <w:i w:val="0"/>
          <w:color w:val="222B35"/>
          <w:sz w:val="18"/>
        </w:rPr>
        <w:t>aucune promesse de subvention dans un contrat commercial de PLU.immo ;</w:t>
      </w:r>
    </w:p>
    <w:p>
      <w:pPr>
        <w:pStyle w:val="ListBullet"/>
        <w:spacing w:after="40" w:line="259" w:lineRule="auto"/>
        <w:ind w:left="312" w:hanging="125"/>
      </w:pPr>
      <w:r>
        <w:rPr>
          <w:rFonts w:ascii="Nimbus Sans" w:hAnsi="Nimbus Sans" w:eastAsia="Nimbus Sans"/>
          <w:b w:val="0"/>
          <w:i w:val="0"/>
          <w:color w:val="222B35"/>
          <w:sz w:val="18"/>
        </w:rPr>
        <w:t>aucun placement dans la SAS PLU, une société liée, un dirigeant ou un fournisseur du groupe ;</w:t>
      </w:r>
    </w:p>
    <w:p>
      <w:pPr>
        <w:pStyle w:val="ListBullet"/>
        <w:spacing w:after="40" w:line="259" w:lineRule="auto"/>
        <w:ind w:left="312" w:hanging="125"/>
      </w:pPr>
      <w:r>
        <w:rPr>
          <w:rFonts w:ascii="Nimbus Sans" w:hAnsi="Nimbus Sans" w:eastAsia="Nimbus Sans"/>
          <w:b w:val="0"/>
          <w:i w:val="0"/>
          <w:color w:val="222B35"/>
          <w:sz w:val="18"/>
        </w:rPr>
        <w:t>suivi distinct de la dotation initiale, des contributions annuelles, des engagements, des produits financiers et des frais de gestion.</w:t>
      </w:r>
    </w:p>
    <w:p>
      <w:pPr>
        <w:pStyle w:val="Heading2"/>
        <w:keepNext/>
      </w:pPr>
      <w:r>
        <w:rPr>
          <w:rFonts w:ascii="Nimbus Sans" w:hAnsi="Nimbus Sans" w:eastAsia="Nimbus Sans"/>
          <w:b/>
          <w:i w:val="0"/>
          <w:color w:val="2E6FA3"/>
          <w:sz w:val="26"/>
        </w:rPr>
        <w:t>4.4 Allocation annuelle</w:t>
      </w:r>
    </w:p>
    <w:tbl>
      <w:tblPr>
        <w:tblStyle w:val="TableGrid"/>
        <w:tblW w:type="dxa" w:w="9740"/>
        <w:jc w:val="left"/>
        <w:tblLayout w:type="fixed"/>
        <w:tblLook w:firstColumn="1" w:firstRow="1" w:lastColumn="0" w:lastRow="0" w:noHBand="0" w:noVBand="1" w:val="04A0"/>
        <w:tblInd w:w="120" w:type="dxa"/>
        <w:tblBorders>
          <w:top w:val="single" w:sz="6" w:color="D9DEE5"/>
          <w:left w:val="single" w:sz="6" w:color="D9DEE5"/>
          <w:bottom w:val="single" w:sz="6" w:color="D9DEE5"/>
          <w:right w:val="single" w:sz="6" w:color="D9DEE5"/>
          <w:insideH w:val="single" w:sz="6" w:color="D9DEE5"/>
          <w:insideV w:val="single" w:sz="6" w:color="D9DEE5"/>
        </w:tblBorders>
      </w:tblPr>
      <w:tblGrid>
        <w:gridCol w:w="2600"/>
        <w:gridCol w:w="7140"/>
      </w:tblGrid>
      <w:tr>
        <w:trPr>
          <w:tblHeader w:val="true"/>
          <w:cantSplit/>
        </w:trPr>
        <w:tc>
          <w:tcPr>
            <w:tcW w:type="dxa" w:w="26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Poche</w:t>
            </w:r>
          </w:p>
        </w:tc>
        <w:tc>
          <w:tcPr>
            <w:tcW w:type="dxa" w:w="714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Règle cible</w:t>
            </w:r>
          </w:p>
        </w:tc>
      </w:tr>
      <w:tr>
        <w:trPr>
          <w:cantSplit/>
        </w:trPr>
        <w:tc>
          <w:tcPr>
            <w:tcW w:type="dxa" w:w="26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Programmes</w:t>
            </w:r>
          </w:p>
        </w:tc>
        <w:tc>
          <w:tcPr>
            <w:tcW w:type="dxa" w:w="71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Au moins 90 % des ressources annuelles consommées, hors produits financiers, bénéficient directement aux projets.</w:t>
            </w:r>
          </w:p>
        </w:tc>
      </w:tr>
      <w:tr>
        <w:trPr>
          <w:cantSplit/>
        </w:trPr>
        <w:tc>
          <w:tcPr>
            <w:tcW w:type="dxa" w:w="26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Administration</w:t>
            </w:r>
          </w:p>
        </w:tc>
        <w:tc>
          <w:tcPr>
            <w:tcW w:type="dxa" w:w="71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Plafond de 8 % des ressources annuelles consommées ; dépassement soumis à vote des 2/3 et publication motivée.</w:t>
            </w:r>
          </w:p>
        </w:tc>
      </w:tr>
      <w:tr>
        <w:trPr>
          <w:cantSplit/>
        </w:trPr>
        <w:tc>
          <w:tcPr>
            <w:tcW w:type="dxa" w:w="26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Évaluation / diffusion</w:t>
            </w:r>
          </w:p>
        </w:tc>
        <w:tc>
          <w:tcPr>
            <w:tcW w:type="dxa" w:w="71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Jusqu'à 2 % pour l'évaluation indépendante, la capitalisation et la publication des résultats.</w:t>
            </w:r>
          </w:p>
        </w:tc>
      </w:tr>
      <w:tr>
        <w:trPr>
          <w:cantSplit/>
        </w:trPr>
        <w:tc>
          <w:tcPr>
            <w:tcW w:type="dxa" w:w="26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Plancher de sécurité</w:t>
            </w:r>
          </w:p>
        </w:tc>
        <w:tc>
          <w:tcPr>
            <w:tcW w:type="dxa" w:w="71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15 000 € ou six mois de frais fixes, le montant le plus élevé, maintenu tant que le fonds poursuit son activité.</w:t>
            </w:r>
          </w:p>
        </w:tc>
      </w:tr>
    </w:tbl>
    <w:p>
      <w:pPr>
        <w:spacing w:after="40"/>
      </w:pPr>
    </w:p>
    <w:p>
      <w:r>
        <w:br w:type="page"/>
      </w:r>
    </w:p>
    <w:p>
      <w:pPr>
        <w:pStyle w:val="Heading1"/>
        <w:keepNext/>
        <w:pageBreakBefore w:val="0"/>
        <w:pBdr>
          <w:left w:val="single" w:sz="18" w:space="8" w:color="C5A46D"/>
        </w:pBdr>
      </w:pPr>
      <w:r>
        <w:rPr>
          <w:rFonts w:ascii="Nimbus Sans" w:hAnsi="Nimbus Sans" w:eastAsia="Nimbus Sans"/>
          <w:b/>
          <w:i w:val="0"/>
          <w:color w:val="0F2747"/>
          <w:sz w:val="36"/>
        </w:rPr>
        <w:t>5. Conservation, protection et placement des fonds</w:t>
      </w:r>
    </w:p>
    <w:p>
      <w:pPr>
        <w:pStyle w:val="Heading2"/>
        <w:keepNext/>
      </w:pPr>
      <w:r>
        <w:rPr>
          <w:rFonts w:ascii="Nimbus Sans" w:hAnsi="Nimbus Sans" w:eastAsia="Nimbus Sans"/>
          <w:b/>
          <w:i w:val="0"/>
          <w:color w:val="2E6FA3"/>
          <w:sz w:val="26"/>
        </w:rPr>
        <w:t>5.1 Principe de compte séparé</w:t>
      </w:r>
    </w:p>
    <w:p>
      <w:pPr>
        <w:keepLines w:val="0"/>
        <w:spacing w:before="0" w:after="80" w:line="269" w:lineRule="auto"/>
        <w:jc w:val="left"/>
      </w:pPr>
      <w:r>
        <w:rPr>
          <w:rFonts w:ascii="Nimbus Sans" w:hAnsi="Nimbus Sans" w:eastAsia="Nimbus Sans"/>
          <w:b w:val="0"/>
          <w:i w:val="0"/>
          <w:color w:val="222B35"/>
          <w:sz w:val="19"/>
        </w:rPr>
        <w:t>Le fonds dispose de ses propres comptes et moyens de paiement. Les établissements concernés et leurs coordonnées figurent dans la déclaration de création et toute modification est déclarée dans les trois mois. [R2-R3]</w:t>
      </w:r>
    </w:p>
    <w:p>
      <w:pPr>
        <w:pStyle w:val="Heading2"/>
        <w:keepNext/>
      </w:pPr>
      <w:r>
        <w:rPr>
          <w:rFonts w:ascii="Nimbus Sans" w:hAnsi="Nimbus Sans" w:eastAsia="Nimbus Sans"/>
          <w:b/>
          <w:i w:val="0"/>
          <w:color w:val="2E6FA3"/>
          <w:sz w:val="26"/>
        </w:rPr>
        <w:t>5.2 Caisse des Dépôts : clause juridiquement sécurisée</w:t>
      </w:r>
    </w:p>
    <w:p>
      <w:pPr>
        <w:spacing w:before="100" w:after="140" w:line="264" w:lineRule="auto"/>
        <w:ind w:left="142" w:right="142"/>
        <w:shd w:fill="F7F1E7" w:val="clear"/>
        <w:pBdr>
          <w:left w:val="single" w:sz="20" w:space="6" w:color="C5A46D"/>
        </w:pBdr>
      </w:pPr>
      <w:r>
        <w:rPr>
          <w:rFonts w:ascii="Nimbus Sans" w:hAnsi="Nimbus Sans" w:eastAsia="Nimbus Sans"/>
          <w:b/>
          <w:i w:val="0"/>
          <w:color w:val="C5A46D"/>
          <w:sz w:val="18"/>
        </w:rPr>
        <w:t xml:space="preserve">CLAUSE PROPOSÉE  </w:t>
      </w:r>
      <w:r>
        <w:rPr>
          <w:rFonts w:ascii="Nimbus Sans" w:hAnsi="Nimbus Sans" w:eastAsia="Nimbus Sans"/>
          <w:b w:val="0"/>
          <w:i w:val="0"/>
          <w:color w:val="222B35"/>
          <w:sz w:val="18"/>
        </w:rPr>
        <w:t>Le conseil sollicite prioritairement la Caisse des Dépôts et Consignations ou, le cas échéant, une solution de la Banque des Territoires, afin d'étudier l'ouverture d'un compte ou la conclusion d'une convention de dépôt. Cette orientation ne devient exécutoire qu'après confirmation écrite de l'éligibilité du fonds et des conditions de retrait.</w:t>
      </w:r>
    </w:p>
    <w:p>
      <w:pPr>
        <w:keepLines w:val="0"/>
        <w:spacing w:before="0" w:after="80" w:line="269" w:lineRule="auto"/>
        <w:jc w:val="left"/>
      </w:pPr>
      <w:r>
        <w:rPr>
          <w:rFonts w:ascii="Nimbus Sans" w:hAnsi="Nimbus Sans" w:eastAsia="Nimbus Sans"/>
          <w:b w:val="0"/>
          <w:i w:val="0"/>
          <w:color w:val="222B35"/>
          <w:sz w:val="19"/>
        </w:rPr>
        <w:t>La Caisse des Dépôts reçoit notamment les consignations prévues par un texte ou ordonnées par une décision judiciaire ou administrative ; aucun droit général d'un fonds de dotation à ouvrir un compte courant ordinaire n'a été identifié. La charte ne doit donc pas présenter cette solution comme acquise. [R8]</w:t>
      </w:r>
    </w:p>
    <w:p>
      <w:pPr>
        <w:pStyle w:val="Heading3"/>
        <w:keepNext/>
      </w:pPr>
      <w:r>
        <w:rPr>
          <w:rFonts w:ascii="Nimbus Sans" w:hAnsi="Nimbus Sans" w:eastAsia="Nimbus Sans"/>
          <w:b/>
          <w:i w:val="0"/>
          <w:color w:val="C8102E"/>
          <w:sz w:val="21"/>
        </w:rPr>
        <w:t>Solution de repli obligatoire</w:t>
      </w:r>
    </w:p>
    <w:p>
      <w:pPr>
        <w:keepLines w:val="0"/>
        <w:spacing w:before="0" w:after="80" w:line="269" w:lineRule="auto"/>
        <w:jc w:val="left"/>
      </w:pPr>
      <w:r>
        <w:rPr>
          <w:rFonts w:ascii="Nimbus Sans" w:hAnsi="Nimbus Sans" w:eastAsia="Nimbus Sans"/>
          <w:b w:val="0"/>
          <w:i w:val="0"/>
          <w:color w:val="222B35"/>
          <w:sz w:val="19"/>
        </w:rPr>
        <w:t>En l'absence d'accord écrit de la Caisse des Dépôts au plus tard trois mois avant le premier encaissement, le fonds ouvre un compte principal auprès d'un établissement de crédit agréé dans l'Union européenne. Les sommes supérieures au plafond de garantie applicable sont réparties entre plusieurs établissements ou placées sur des supports admissibles à très faible risque.</w:t>
      </w:r>
    </w:p>
    <w:p>
      <w:pPr>
        <w:pStyle w:val="Heading2"/>
        <w:keepNext/>
      </w:pPr>
      <w:r>
        <w:rPr>
          <w:rFonts w:ascii="Nimbus Sans" w:hAnsi="Nimbus Sans" w:eastAsia="Nimbus Sans"/>
          <w:b/>
          <w:i w:val="0"/>
          <w:color w:val="2E6FA3"/>
          <w:sz w:val="26"/>
        </w:rPr>
        <w:t>5.3 Politique de trésorerie 2026-2028</w:t>
      </w:r>
    </w:p>
    <w:tbl>
      <w:tblPr>
        <w:tblStyle w:val="TableGrid"/>
        <w:tblW w:type="dxa" w:w="9740"/>
        <w:jc w:val="left"/>
        <w:tblLayout w:type="fixed"/>
        <w:tblLook w:firstColumn="1" w:firstRow="1" w:lastColumn="0" w:lastRow="0" w:noHBand="0" w:noVBand="1" w:val="04A0"/>
        <w:tblInd w:w="120" w:type="dxa"/>
        <w:tblBorders>
          <w:top w:val="single" w:sz="6" w:color="D9DEE5"/>
          <w:left w:val="single" w:sz="6" w:color="D9DEE5"/>
          <w:bottom w:val="single" w:sz="6" w:color="D9DEE5"/>
          <w:right w:val="single" w:sz="6" w:color="D9DEE5"/>
          <w:insideH w:val="single" w:sz="6" w:color="D9DEE5"/>
          <w:insideV w:val="single" w:sz="6" w:color="D9DEE5"/>
        </w:tblBorders>
      </w:tblPr>
      <w:tblGrid>
        <w:gridCol w:w="2300"/>
        <w:gridCol w:w="7440"/>
      </w:tblGrid>
      <w:tr>
        <w:trPr>
          <w:tblHeader w:val="true"/>
          <w:cantSplit/>
        </w:trPr>
        <w:tc>
          <w:tcPr>
            <w:tcW w:type="dxa" w:w="23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Règle</w:t>
            </w:r>
          </w:p>
        </w:tc>
        <w:tc>
          <w:tcPr>
            <w:tcW w:type="dxa" w:w="744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Application</w:t>
            </w:r>
          </w:p>
        </w:tc>
      </w:tr>
      <w:tr>
        <w:trPr>
          <w:cantSplit/>
        </w:trPr>
        <w:tc>
          <w:tcPr>
            <w:tcW w:type="dxa" w:w="23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Capital garanti</w:t>
            </w:r>
          </w:p>
        </w:tc>
        <w:tc>
          <w:tcPr>
            <w:tcW w:type="dxa" w:w="74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Priorité aux dépôts à vue, comptes à terme et titres de créance souverains de courte durée autorisés.</w:t>
            </w:r>
          </w:p>
        </w:tc>
      </w:tr>
      <w:tr>
        <w:trPr>
          <w:cantSplit/>
        </w:trPr>
        <w:tc>
          <w:tcPr>
            <w:tcW w:type="dxa" w:w="23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Liquidité</w:t>
            </w:r>
          </w:p>
        </w:tc>
        <w:tc>
          <w:tcPr>
            <w:tcW w:type="dxa" w:w="74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Échéance maximale alignée sur le calendrier des appels de fonds ; aucune immobilisation au-delà de 12 mois avant les versements 2028.</w:t>
            </w:r>
          </w:p>
        </w:tc>
      </w:tr>
      <w:tr>
        <w:trPr>
          <w:cantSplit/>
        </w:trPr>
        <w:tc>
          <w:tcPr>
            <w:tcW w:type="dxa" w:w="23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Risque</w:t>
            </w:r>
          </w:p>
        </w:tc>
        <w:tc>
          <w:tcPr>
            <w:tcW w:type="dxa" w:w="74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Aucune action, crypto-actif, produit structuré, levier, dérivé spéculatif ou actif non coté.</w:t>
            </w:r>
          </w:p>
        </w:tc>
      </w:tr>
      <w:tr>
        <w:trPr>
          <w:cantSplit/>
        </w:trPr>
        <w:tc>
          <w:tcPr>
            <w:tcW w:type="dxa" w:w="23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Dispersion</w:t>
            </w:r>
          </w:p>
        </w:tc>
        <w:tc>
          <w:tcPr>
            <w:tcW w:type="dxa" w:w="74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Limite interne de 50 % par émetteur bancaire, sauf Caisse des Dépôts ou dette souveraine française ; révision annuelle.</w:t>
            </w:r>
          </w:p>
        </w:tc>
      </w:tr>
      <w:tr>
        <w:trPr>
          <w:cantSplit/>
        </w:trPr>
        <w:tc>
          <w:tcPr>
            <w:tcW w:type="dxa" w:w="23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Disponibilité</w:t>
            </w:r>
          </w:p>
        </w:tc>
        <w:tc>
          <w:tcPr>
            <w:tcW w:type="dxa" w:w="74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Au moins 30 % de l'enveloppe engagée reste disponible à moins de 30 jours.</w:t>
            </w:r>
          </w:p>
        </w:tc>
      </w:tr>
      <w:tr>
        <w:trPr>
          <w:cantSplit/>
        </w:trPr>
        <w:tc>
          <w:tcPr>
            <w:tcW w:type="dxa" w:w="23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Contrôle</w:t>
            </w:r>
          </w:p>
        </w:tc>
        <w:tc>
          <w:tcPr>
            <w:tcW w:type="dxa" w:w="74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Relevé mensuel rapproché ; état trimestriel au trésorier et au conseil ; inventaire annuel transmis au CAC.</w:t>
            </w:r>
          </w:p>
        </w:tc>
      </w:tr>
    </w:tbl>
    <w:p>
      <w:pPr>
        <w:spacing w:after="40"/>
      </w:pPr>
    </w:p>
    <w:p>
      <w:pPr>
        <w:keepLines w:val="0"/>
        <w:spacing w:before="0" w:after="80" w:line="269" w:lineRule="auto"/>
        <w:jc w:val="left"/>
      </w:pPr>
      <w:r>
        <w:rPr>
          <w:rFonts w:ascii="Nimbus Sans" w:hAnsi="Nimbus Sans" w:eastAsia="Nimbus Sans"/>
          <w:b w:val="0"/>
          <w:i/>
          <w:color w:val="5E6875"/>
          <w:sz w:val="17"/>
        </w:rPr>
        <w:t>Le conseil définit la politique d'investissement, avec des règles de dispersion et de limitation par émetteur, en respectant la liste des actifs autorisés. Au-delà de 1 M€ de dotations, un comité consultatif d'investissement composé de personnalités extérieures devient obligatoire. [R2-R3]</w:t>
      </w:r>
    </w:p>
    <w:p>
      <w:pPr>
        <w:pStyle w:val="Heading2"/>
        <w:keepNext/>
      </w:pPr>
      <w:r>
        <w:rPr>
          <w:rFonts w:ascii="Nimbus Sans" w:hAnsi="Nimbus Sans" w:eastAsia="Nimbus Sans"/>
          <w:b/>
          <w:i w:val="0"/>
          <w:color w:val="2E6FA3"/>
          <w:sz w:val="26"/>
        </w:rPr>
        <w:t>5.4 Signature et décaissement</w:t>
      </w:r>
    </w:p>
    <w:p>
      <w:pPr>
        <w:pStyle w:val="ListBullet"/>
        <w:spacing w:after="40" w:line="259" w:lineRule="auto"/>
        <w:ind w:left="312" w:hanging="125"/>
      </w:pPr>
      <w:r>
        <w:rPr>
          <w:rFonts w:ascii="Nimbus Sans" w:hAnsi="Nimbus Sans" w:eastAsia="Nimbus Sans"/>
          <w:b w:val="0"/>
          <w:i w:val="0"/>
          <w:color w:val="222B35"/>
          <w:sz w:val="18"/>
        </w:rPr>
        <w:t>double validation électronique pour tout paiement supérieur à 2 500 € ;</w:t>
      </w:r>
    </w:p>
    <w:p>
      <w:pPr>
        <w:pStyle w:val="ListBullet"/>
        <w:spacing w:after="40" w:line="259" w:lineRule="auto"/>
        <w:ind w:left="312" w:hanging="125"/>
      </w:pPr>
      <w:r>
        <w:rPr>
          <w:rFonts w:ascii="Nimbus Sans" w:hAnsi="Nimbus Sans" w:eastAsia="Nimbus Sans"/>
          <w:b w:val="0"/>
          <w:i w:val="0"/>
          <w:color w:val="222B35"/>
          <w:sz w:val="18"/>
        </w:rPr>
        <w:t>président + trésorier, ou vice-président + trésorier ; aucun représentant PLU ne peut être seul signataire ;</w:t>
      </w:r>
    </w:p>
    <w:p>
      <w:pPr>
        <w:pStyle w:val="ListBullet"/>
        <w:spacing w:after="40" w:line="259" w:lineRule="auto"/>
        <w:ind w:left="312" w:hanging="125"/>
      </w:pPr>
      <w:r>
        <w:rPr>
          <w:rFonts w:ascii="Nimbus Sans" w:hAnsi="Nimbus Sans" w:eastAsia="Nimbus Sans"/>
          <w:b w:val="0"/>
          <w:i w:val="0"/>
          <w:color w:val="222B35"/>
          <w:sz w:val="18"/>
        </w:rPr>
        <w:t>liste blanche de bénéficiaires après contrôle IBAN et convention ;</w:t>
      </w:r>
    </w:p>
    <w:p>
      <w:pPr>
        <w:pStyle w:val="ListBullet"/>
        <w:spacing w:after="40" w:line="259" w:lineRule="auto"/>
        <w:ind w:left="312" w:hanging="125"/>
      </w:pPr>
      <w:r>
        <w:rPr>
          <w:rFonts w:ascii="Nimbus Sans" w:hAnsi="Nimbus Sans" w:eastAsia="Nimbus Sans"/>
          <w:b w:val="0"/>
          <w:i w:val="0"/>
          <w:color w:val="222B35"/>
          <w:sz w:val="18"/>
        </w:rPr>
        <w:t>interdiction des espèces, chèques au porteur et cartes à débit différé ;</w:t>
      </w:r>
    </w:p>
    <w:p>
      <w:pPr>
        <w:pStyle w:val="ListBullet"/>
        <w:spacing w:after="40" w:line="259" w:lineRule="auto"/>
        <w:ind w:left="312" w:hanging="125"/>
      </w:pPr>
      <w:r>
        <w:rPr>
          <w:rFonts w:ascii="Nimbus Sans" w:hAnsi="Nimbus Sans" w:eastAsia="Nimbus Sans"/>
          <w:b w:val="0"/>
          <w:i w:val="0"/>
          <w:color w:val="222B35"/>
          <w:sz w:val="18"/>
        </w:rPr>
        <w:t>journal des habilitations revu chaque trimestre ; révocation immédiate à la fin d'un mandat.</w:t>
      </w:r>
    </w:p>
    <w:p>
      <w:r>
        <w:br w:type="page"/>
      </w:r>
    </w:p>
    <w:p>
      <w:pPr>
        <w:pStyle w:val="Heading1"/>
        <w:keepNext/>
        <w:pageBreakBefore w:val="0"/>
        <w:pBdr>
          <w:left w:val="single" w:sz="18" w:space="8" w:color="C5A46D"/>
        </w:pBdr>
      </w:pPr>
      <w:r>
        <w:rPr>
          <w:rFonts w:ascii="Nimbus Sans" w:hAnsi="Nimbus Sans" w:eastAsia="Nimbus Sans"/>
          <w:b/>
          <w:i w:val="0"/>
          <w:color w:val="0F2747"/>
          <w:sz w:val="36"/>
        </w:rPr>
        <w:t>6. Gouvernance et organes dirigeants</w:t>
      </w:r>
    </w:p>
    <w:p>
      <w:pPr>
        <w:pStyle w:val="Heading2"/>
        <w:keepNext/>
      </w:pPr>
      <w:r>
        <w:rPr>
          <w:rFonts w:ascii="Nimbus Sans" w:hAnsi="Nimbus Sans" w:eastAsia="Nimbus Sans"/>
          <w:b/>
          <w:i w:val="0"/>
          <w:color w:val="2E6FA3"/>
          <w:sz w:val="26"/>
        </w:rPr>
        <w:t>6.1 Conseil d'administration - 7 membres</w:t>
      </w:r>
    </w:p>
    <w:tbl>
      <w:tblPr>
        <w:tblStyle w:val="TableGrid"/>
        <w:tblW w:type="dxa" w:w="9740"/>
        <w:jc w:val="left"/>
        <w:tblLayout w:type="fixed"/>
        <w:tblLook w:firstColumn="1" w:firstRow="1" w:lastColumn="0" w:lastRow="0" w:noHBand="0" w:noVBand="1" w:val="04A0"/>
        <w:tblInd w:w="120" w:type="dxa"/>
        <w:tblBorders>
          <w:top w:val="single" w:sz="6" w:color="D9DEE5"/>
          <w:left w:val="single" w:sz="6" w:color="D9DEE5"/>
          <w:bottom w:val="single" w:sz="6" w:color="D9DEE5"/>
          <w:right w:val="single" w:sz="6" w:color="D9DEE5"/>
          <w:insideH w:val="single" w:sz="6" w:color="D9DEE5"/>
          <w:insideV w:val="single" w:sz="6" w:color="D9DEE5"/>
        </w:tblBorders>
      </w:tblPr>
      <w:tblGrid>
        <w:gridCol w:w="2600"/>
        <w:gridCol w:w="1500"/>
        <w:gridCol w:w="5640"/>
      </w:tblGrid>
      <w:tr>
        <w:trPr>
          <w:tblHeader w:val="true"/>
          <w:cantSplit/>
        </w:trPr>
        <w:tc>
          <w:tcPr>
            <w:tcW w:type="dxa" w:w="26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Collège</w:t>
            </w:r>
          </w:p>
        </w:tc>
        <w:tc>
          <w:tcPr>
            <w:tcW w:type="dxa" w:w="15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Sièges</w:t>
            </w:r>
          </w:p>
        </w:tc>
        <w:tc>
          <w:tcPr>
            <w:tcW w:type="dxa" w:w="564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Profil</w:t>
            </w:r>
          </w:p>
        </w:tc>
      </w:tr>
      <w:tr>
        <w:trPr>
          <w:cantSplit/>
        </w:trPr>
        <w:tc>
          <w:tcPr>
            <w:tcW w:type="dxa" w:w="26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Fondateur</w:t>
            </w:r>
          </w:p>
        </w:tc>
        <w:tc>
          <w:tcPr>
            <w:tcW w:type="dxa" w:w="15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2 maximum</w:t>
            </w:r>
          </w:p>
        </w:tc>
        <w:tc>
          <w:tcPr>
            <w:tcW w:type="dxa" w:w="56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Représentants désignés par la SAS PLU.</w:t>
            </w:r>
          </w:p>
        </w:tc>
      </w:tr>
      <w:tr>
        <w:trPr>
          <w:cantSplit/>
        </w:trPr>
        <w:tc>
          <w:tcPr>
            <w:tcW w:type="dxa" w:w="26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Architecture / urbanisme</w:t>
            </w:r>
          </w:p>
        </w:tc>
        <w:tc>
          <w:tcPr>
            <w:tcW w:type="dxa" w:w="15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1</w:t>
            </w:r>
          </w:p>
        </w:tc>
        <w:tc>
          <w:tcPr>
            <w:tcW w:type="dxa" w:w="56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Architecte, urbaniste ou programmiste indépendant.</w:t>
            </w:r>
          </w:p>
        </w:tc>
      </w:tr>
      <w:tr>
        <w:trPr>
          <w:cantSplit/>
        </w:trPr>
        <w:tc>
          <w:tcPr>
            <w:tcW w:type="dxa" w:w="26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Culture</w:t>
            </w:r>
          </w:p>
        </w:tc>
        <w:tc>
          <w:tcPr>
            <w:tcW w:type="dxa" w:w="15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1</w:t>
            </w:r>
          </w:p>
        </w:tc>
        <w:tc>
          <w:tcPr>
            <w:tcW w:type="dxa" w:w="56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Personnalité qualifiée en création, médiation ou politique culturelle.</w:t>
            </w:r>
          </w:p>
        </w:tc>
      </w:tr>
      <w:tr>
        <w:trPr>
          <w:cantSplit/>
        </w:trPr>
        <w:tc>
          <w:tcPr>
            <w:tcW w:type="dxa" w:w="26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Patrimoine</w:t>
            </w:r>
          </w:p>
        </w:tc>
        <w:tc>
          <w:tcPr>
            <w:tcW w:type="dxa" w:w="15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1</w:t>
            </w:r>
          </w:p>
        </w:tc>
        <w:tc>
          <w:tcPr>
            <w:tcW w:type="dxa" w:w="56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Spécialiste du bâti ancien, du paysage ou des savoir-faire.</w:t>
            </w:r>
          </w:p>
        </w:tc>
      </w:tr>
      <w:tr>
        <w:trPr>
          <w:cantSplit/>
        </w:trPr>
        <w:tc>
          <w:tcPr>
            <w:tcW w:type="dxa" w:w="26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Finance / comptabilité</w:t>
            </w:r>
          </w:p>
        </w:tc>
        <w:tc>
          <w:tcPr>
            <w:tcW w:type="dxa" w:w="15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1</w:t>
            </w:r>
          </w:p>
        </w:tc>
        <w:tc>
          <w:tcPr>
            <w:tcW w:type="dxa" w:w="56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Administrateur financier indépendant ; ne tient pas les comptes et ne les certifie pas.</w:t>
            </w:r>
          </w:p>
        </w:tc>
      </w:tr>
      <w:tr>
        <w:trPr>
          <w:cantSplit/>
        </w:trPr>
        <w:tc>
          <w:tcPr>
            <w:tcW w:type="dxa" w:w="26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Éthique / territoires</w:t>
            </w:r>
          </w:p>
        </w:tc>
        <w:tc>
          <w:tcPr>
            <w:tcW w:type="dxa" w:w="15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1</w:t>
            </w:r>
          </w:p>
        </w:tc>
        <w:tc>
          <w:tcPr>
            <w:tcW w:type="dxa" w:w="56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Juriste, universitaire, acteur associatif ou personnalité territoriale indépendante.</w:t>
            </w:r>
          </w:p>
        </w:tc>
      </w:tr>
    </w:tbl>
    <w:p>
      <w:pPr>
        <w:spacing w:after="40"/>
      </w:pPr>
    </w:p>
    <w:p>
      <w:pPr>
        <w:keepLines w:val="0"/>
        <w:spacing w:before="0" w:after="80" w:line="269" w:lineRule="auto"/>
        <w:jc w:val="left"/>
      </w:pPr>
      <w:r>
        <w:rPr>
          <w:rFonts w:ascii="Nimbus Sans" w:hAnsi="Nimbus Sans" w:eastAsia="Nimbus Sans"/>
          <w:b w:val="0"/>
          <w:i w:val="0"/>
          <w:color w:val="222B35"/>
          <w:sz w:val="19"/>
        </w:rPr>
        <w:t>Mandat proposé : trois ans, renouvelable une fois. Fonctions gratuites, remboursement des frais réels sur justificatifs. Le conseil élit un président, un vice-président, un trésorier et un secrétaire. La présidence ne peut être cumulée durablement avec la direction générale de la SAS PLU ; au plus tard à compter de la première attribution, elle est confiée à une personnalité indépendante.</w:t>
      </w:r>
    </w:p>
    <w:p>
      <w:pPr>
        <w:pStyle w:val="Heading2"/>
        <w:keepNext/>
      </w:pPr>
      <w:r>
        <w:rPr>
          <w:rFonts w:ascii="Nimbus Sans" w:hAnsi="Nimbus Sans" w:eastAsia="Nimbus Sans"/>
          <w:b/>
          <w:i w:val="0"/>
          <w:color w:val="2E6FA3"/>
          <w:sz w:val="26"/>
        </w:rPr>
        <w:t>6.2 Compétences réservées au conseil</w:t>
      </w:r>
    </w:p>
    <w:p>
      <w:pPr>
        <w:pStyle w:val="ListBullet"/>
        <w:spacing w:after="40" w:line="259" w:lineRule="auto"/>
        <w:ind w:left="312" w:hanging="125"/>
      </w:pPr>
      <w:r>
        <w:rPr>
          <w:rFonts w:ascii="Nimbus Sans" w:hAnsi="Nimbus Sans" w:eastAsia="Nimbus Sans"/>
          <w:b w:val="0"/>
          <w:i w:val="0"/>
          <w:color w:val="222B35"/>
          <w:sz w:val="18"/>
        </w:rPr>
        <w:t>stratégie, budget, politique d'investissement et plan de consommation de la dotation ;</w:t>
      </w:r>
    </w:p>
    <w:p>
      <w:pPr>
        <w:pStyle w:val="ListBullet"/>
        <w:spacing w:after="40" w:line="259" w:lineRule="auto"/>
        <w:ind w:left="312" w:hanging="125"/>
      </w:pPr>
      <w:r>
        <w:rPr>
          <w:rFonts w:ascii="Nimbus Sans" w:hAnsi="Nimbus Sans" w:eastAsia="Nimbus Sans"/>
          <w:b w:val="0"/>
          <w:i w:val="0"/>
          <w:color w:val="222B35"/>
          <w:sz w:val="18"/>
        </w:rPr>
        <w:t>acceptation ou refus des libéralités ;</w:t>
      </w:r>
    </w:p>
    <w:p>
      <w:pPr>
        <w:pStyle w:val="ListBullet"/>
        <w:spacing w:after="40" w:line="259" w:lineRule="auto"/>
        <w:ind w:left="312" w:hanging="125"/>
      </w:pPr>
      <w:r>
        <w:rPr>
          <w:rFonts w:ascii="Nimbus Sans" w:hAnsi="Nimbus Sans" w:eastAsia="Nimbus Sans"/>
          <w:b w:val="0"/>
          <w:i w:val="0"/>
          <w:color w:val="222B35"/>
          <w:sz w:val="18"/>
        </w:rPr>
        <w:t>lancement des appels à projets, adoption du barème et attribution des aides ;</w:t>
      </w:r>
    </w:p>
    <w:p>
      <w:pPr>
        <w:pStyle w:val="ListBullet"/>
        <w:spacing w:after="40" w:line="259" w:lineRule="auto"/>
        <w:ind w:left="312" w:hanging="125"/>
      </w:pPr>
      <w:r>
        <w:rPr>
          <w:rFonts w:ascii="Nimbus Sans" w:hAnsi="Nimbus Sans" w:eastAsia="Nimbus Sans"/>
          <w:b w:val="0"/>
          <w:i w:val="0"/>
          <w:color w:val="222B35"/>
          <w:sz w:val="18"/>
        </w:rPr>
        <w:t>arrêté des comptes, approbation du rapport d'activité et transmission réglementaire ;</w:t>
      </w:r>
    </w:p>
    <w:p>
      <w:pPr>
        <w:pStyle w:val="ListBullet"/>
        <w:spacing w:after="40" w:line="259" w:lineRule="auto"/>
        <w:ind w:left="312" w:hanging="125"/>
      </w:pPr>
      <w:r>
        <w:rPr>
          <w:rFonts w:ascii="Nimbus Sans" w:hAnsi="Nimbus Sans" w:eastAsia="Nimbus Sans"/>
          <w:b w:val="0"/>
          <w:i w:val="0"/>
          <w:color w:val="222B35"/>
          <w:sz w:val="18"/>
        </w:rPr>
        <w:t>nomination de l'expert-comptable, du commissaire aux comptes et des membres des comités ;</w:t>
      </w:r>
    </w:p>
    <w:p>
      <w:pPr>
        <w:pStyle w:val="ListBullet"/>
        <w:spacing w:after="40" w:line="259" w:lineRule="auto"/>
        <w:ind w:left="312" w:hanging="125"/>
      </w:pPr>
      <w:r>
        <w:rPr>
          <w:rFonts w:ascii="Nimbus Sans" w:hAnsi="Nimbus Sans" w:eastAsia="Nimbus Sans"/>
          <w:b w:val="0"/>
          <w:i w:val="0"/>
          <w:color w:val="222B35"/>
          <w:sz w:val="18"/>
        </w:rPr>
        <w:t>conventions avec la SAS PLU, les donateurs et les bénéficiaires ;</w:t>
      </w:r>
    </w:p>
    <w:p>
      <w:pPr>
        <w:pStyle w:val="ListBullet"/>
        <w:spacing w:after="40" w:line="259" w:lineRule="auto"/>
        <w:ind w:left="312" w:hanging="125"/>
      </w:pPr>
      <w:r>
        <w:rPr>
          <w:rFonts w:ascii="Nimbus Sans" w:hAnsi="Nimbus Sans" w:eastAsia="Nimbus Sans"/>
          <w:b w:val="0"/>
          <w:i w:val="0"/>
          <w:color w:val="222B35"/>
          <w:sz w:val="18"/>
        </w:rPr>
        <w:t>modification des statuts, dissolution et dévolution de l'actif.</w:t>
      </w:r>
    </w:p>
    <w:p>
      <w:pPr>
        <w:pStyle w:val="Heading2"/>
        <w:keepNext/>
      </w:pPr>
      <w:r>
        <w:rPr>
          <w:rFonts w:ascii="Nimbus Sans" w:hAnsi="Nimbus Sans" w:eastAsia="Nimbus Sans"/>
          <w:b/>
          <w:i w:val="0"/>
          <w:color w:val="2E6FA3"/>
          <w:sz w:val="26"/>
        </w:rPr>
        <w:t>6.3 Règles de vote</w:t>
      </w:r>
    </w:p>
    <w:tbl>
      <w:tblPr>
        <w:tblStyle w:val="TableGrid"/>
        <w:tblW w:type="dxa" w:w="9740"/>
        <w:jc w:val="left"/>
        <w:tblLayout w:type="fixed"/>
        <w:tblLook w:firstColumn="1" w:firstRow="1" w:lastColumn="0" w:lastRow="0" w:noHBand="0" w:noVBand="1" w:val="04A0"/>
        <w:tblInd w:w="120" w:type="dxa"/>
        <w:tblBorders>
          <w:top w:val="single" w:sz="6" w:color="D9DEE5"/>
          <w:left w:val="single" w:sz="6" w:color="D9DEE5"/>
          <w:bottom w:val="single" w:sz="6" w:color="D9DEE5"/>
          <w:right w:val="single" w:sz="6" w:color="D9DEE5"/>
          <w:insideH w:val="single" w:sz="6" w:color="D9DEE5"/>
          <w:insideV w:val="single" w:sz="6" w:color="D9DEE5"/>
        </w:tblBorders>
      </w:tblPr>
      <w:tblGrid>
        <w:gridCol w:w="3500"/>
        <w:gridCol w:w="6240"/>
      </w:tblGrid>
      <w:tr>
        <w:trPr>
          <w:tblHeader w:val="true"/>
          <w:cantSplit/>
        </w:trPr>
        <w:tc>
          <w:tcPr>
            <w:tcW w:type="dxa" w:w="35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Décision</w:t>
            </w:r>
          </w:p>
        </w:tc>
        <w:tc>
          <w:tcPr>
            <w:tcW w:type="dxa" w:w="624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Quorum / majorité</w:t>
            </w:r>
          </w:p>
        </w:tc>
      </w:tr>
      <w:tr>
        <w:trPr>
          <w:cantSplit/>
        </w:trPr>
        <w:tc>
          <w:tcPr>
            <w:tcW w:type="dxa" w:w="35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Décision courante</w:t>
            </w:r>
          </w:p>
        </w:tc>
        <w:tc>
          <w:tcPr>
            <w:tcW w:type="dxa" w:w="62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Majorité des membres en fonction ; majorité simple des présents.</w:t>
            </w:r>
          </w:p>
        </w:tc>
      </w:tr>
      <w:tr>
        <w:trPr>
          <w:cantSplit/>
        </w:trPr>
        <w:tc>
          <w:tcPr>
            <w:tcW w:type="dxa" w:w="35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Attribution d'une aide</w:t>
            </w:r>
          </w:p>
        </w:tc>
        <w:tc>
          <w:tcPr>
            <w:tcW w:type="dxa" w:w="62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Quorum de 5/7 ; majorité des 2/3 des votants après retraits pour conflits.</w:t>
            </w:r>
          </w:p>
        </w:tc>
      </w:tr>
      <w:tr>
        <w:trPr>
          <w:cantSplit/>
        </w:trPr>
        <w:tc>
          <w:tcPr>
            <w:tcW w:type="dxa" w:w="35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Convention avec PLU / partie liée</w:t>
            </w:r>
          </w:p>
        </w:tc>
        <w:tc>
          <w:tcPr>
            <w:tcW w:type="dxa" w:w="62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Quorum de 5/7 dont trois indépendants ; majorité des 2/3, représentants concernés abstentionnistes.</w:t>
            </w:r>
          </w:p>
        </w:tc>
      </w:tr>
      <w:tr>
        <w:trPr>
          <w:cantSplit/>
        </w:trPr>
        <w:tc>
          <w:tcPr>
            <w:tcW w:type="dxa" w:w="35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Statuts, consommation exceptionnelle du plancher, dissolution</w:t>
            </w:r>
          </w:p>
        </w:tc>
        <w:tc>
          <w:tcPr>
            <w:tcW w:type="dxa" w:w="62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Majorité des 3/4 des membres en fonction.</w:t>
            </w:r>
          </w:p>
        </w:tc>
      </w:tr>
    </w:tbl>
    <w:p>
      <w:pPr>
        <w:spacing w:after="40"/>
      </w:pPr>
    </w:p>
    <w:p>
      <w:pPr>
        <w:pStyle w:val="Heading2"/>
        <w:keepNext/>
      </w:pPr>
      <w:r>
        <w:rPr>
          <w:rFonts w:ascii="Nimbus Sans" w:hAnsi="Nimbus Sans" w:eastAsia="Nimbus Sans"/>
          <w:b/>
          <w:i w:val="0"/>
          <w:color w:val="2E6FA3"/>
          <w:sz w:val="26"/>
        </w:rPr>
        <w:t>6.4 Comités</w:t>
      </w:r>
    </w:p>
    <w:p>
      <w:pPr>
        <w:pStyle w:val="Heading3"/>
        <w:keepNext/>
      </w:pPr>
      <w:r>
        <w:rPr>
          <w:rFonts w:ascii="Nimbus Sans" w:hAnsi="Nimbus Sans" w:eastAsia="Nimbus Sans"/>
          <w:b/>
          <w:i w:val="0"/>
          <w:color w:val="C8102E"/>
          <w:sz w:val="21"/>
        </w:rPr>
        <w:t>Comité indépendant de sélection</w:t>
      </w:r>
    </w:p>
    <w:p>
      <w:pPr>
        <w:keepLines w:val="0"/>
        <w:spacing w:before="0" w:after="80" w:line="269" w:lineRule="auto"/>
        <w:jc w:val="left"/>
      </w:pPr>
      <w:r>
        <w:rPr>
          <w:rFonts w:ascii="Nimbus Sans" w:hAnsi="Nimbus Sans" w:eastAsia="Nimbus Sans"/>
          <w:b w:val="0"/>
          <w:i w:val="0"/>
          <w:color w:val="222B35"/>
          <w:sz w:val="19"/>
        </w:rPr>
        <w:t>Cinq membres au minimum, choisis pour leurs compétences et sans lien commercial récent avec PLU.immo. Il instruit, auditionne si nécessaire, note les projets et remet une proposition motivée. Le conseil conserve la décision finale et motive tout écart au classement.</w:t>
      </w:r>
    </w:p>
    <w:p>
      <w:pPr>
        <w:pStyle w:val="Heading3"/>
        <w:keepNext/>
      </w:pPr>
      <w:r>
        <w:rPr>
          <w:rFonts w:ascii="Nimbus Sans" w:hAnsi="Nimbus Sans" w:eastAsia="Nimbus Sans"/>
          <w:b/>
          <w:i w:val="0"/>
          <w:color w:val="C8102E"/>
          <w:sz w:val="21"/>
        </w:rPr>
        <w:t>Comité d'éthique et des conflits</w:t>
      </w:r>
    </w:p>
    <w:p>
      <w:pPr>
        <w:keepLines w:val="0"/>
        <w:spacing w:before="0" w:after="80" w:line="269" w:lineRule="auto"/>
        <w:jc w:val="left"/>
      </w:pPr>
      <w:r>
        <w:rPr>
          <w:rFonts w:ascii="Nimbus Sans" w:hAnsi="Nimbus Sans" w:eastAsia="Nimbus Sans"/>
          <w:b w:val="0"/>
          <w:i w:val="0"/>
          <w:color w:val="222B35"/>
          <w:sz w:val="19"/>
        </w:rPr>
        <w:t>Trois membres indépendants ; avis sur les déclarations d'intérêts, les partenariats, les cadeaux, les alertes et les recours procéduraux. Il peut demander l'exclusion temporaire d'un membre de toute instruction.</w:t>
      </w:r>
    </w:p>
    <w:p>
      <w:pPr>
        <w:pStyle w:val="Heading3"/>
        <w:keepNext/>
      </w:pPr>
      <w:r>
        <w:rPr>
          <w:rFonts w:ascii="Nimbus Sans" w:hAnsi="Nimbus Sans" w:eastAsia="Nimbus Sans"/>
          <w:b/>
          <w:i w:val="0"/>
          <w:color w:val="C8102E"/>
          <w:sz w:val="21"/>
        </w:rPr>
        <w:t>Comité d'investissement</w:t>
      </w:r>
    </w:p>
    <w:p>
      <w:pPr>
        <w:keepLines w:val="0"/>
        <w:spacing w:before="0" w:after="80" w:line="269" w:lineRule="auto"/>
        <w:jc w:val="left"/>
      </w:pPr>
      <w:r>
        <w:rPr>
          <w:rFonts w:ascii="Nimbus Sans" w:hAnsi="Nimbus Sans" w:eastAsia="Nimbus Sans"/>
          <w:b w:val="0"/>
          <w:i w:val="0"/>
          <w:color w:val="222B35"/>
          <w:sz w:val="19"/>
        </w:rPr>
        <w:t>Mis en place volontairement dès que la trésorerie dépasse 500 000 € et obligatoirement lorsque les dotations dépassent 1 M€. Il ne remplace pas le conseil.</w:t>
      </w:r>
    </w:p>
    <w:p>
      <w:pPr>
        <w:pStyle w:val="Heading2"/>
        <w:keepNext/>
      </w:pPr>
      <w:r>
        <w:rPr>
          <w:rFonts w:ascii="Nimbus Sans" w:hAnsi="Nimbus Sans" w:eastAsia="Nimbus Sans"/>
          <w:b/>
          <w:i w:val="0"/>
          <w:color w:val="2E6FA3"/>
          <w:sz w:val="26"/>
        </w:rPr>
        <w:t>6.5 Professionnels comptables : séparation des fonctions</w:t>
      </w:r>
    </w:p>
    <w:tbl>
      <w:tblPr>
        <w:tblStyle w:val="TableGrid"/>
        <w:tblW w:type="dxa" w:w="9740"/>
        <w:jc w:val="left"/>
        <w:tblLayout w:type="fixed"/>
        <w:tblLook w:firstColumn="1" w:firstRow="1" w:lastColumn="0" w:lastRow="0" w:noHBand="0" w:noVBand="1" w:val="04A0"/>
        <w:tblInd w:w="120" w:type="dxa"/>
        <w:tblBorders>
          <w:top w:val="single" w:sz="6" w:color="D9DEE5"/>
          <w:left w:val="single" w:sz="6" w:color="D9DEE5"/>
          <w:bottom w:val="single" w:sz="6" w:color="D9DEE5"/>
          <w:right w:val="single" w:sz="6" w:color="D9DEE5"/>
          <w:insideH w:val="single" w:sz="6" w:color="D9DEE5"/>
          <w:insideV w:val="single" w:sz="6" w:color="D9DEE5"/>
        </w:tblBorders>
      </w:tblPr>
      <w:tblGrid>
        <w:gridCol w:w="2200"/>
        <w:gridCol w:w="4200"/>
        <w:gridCol w:w="3340"/>
      </w:tblGrid>
      <w:tr>
        <w:trPr>
          <w:tblHeader w:val="true"/>
          <w:cantSplit/>
        </w:trPr>
        <w:tc>
          <w:tcPr>
            <w:tcW w:type="dxa" w:w="22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Acteur</w:t>
            </w:r>
          </w:p>
        </w:tc>
        <w:tc>
          <w:tcPr>
            <w:tcW w:type="dxa" w:w="42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Mission</w:t>
            </w:r>
          </w:p>
        </w:tc>
        <w:tc>
          <w:tcPr>
            <w:tcW w:type="dxa" w:w="334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Interdiction</w:t>
            </w:r>
          </w:p>
        </w:tc>
      </w:tr>
      <w:tr>
        <w:trPr>
          <w:cantSplit/>
        </w:trPr>
        <w:tc>
          <w:tcPr>
            <w:tcW w:type="dxa" w:w="22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Trésorier</w:t>
            </w:r>
          </w:p>
        </w:tc>
        <w:tc>
          <w:tcPr>
            <w:tcW w:type="dxa" w:w="42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Surveille budget, trésorerie et contrôles</w:t>
            </w:r>
          </w:p>
        </w:tc>
        <w:tc>
          <w:tcPr>
            <w:tcW w:type="dxa" w:w="33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Ne tient pas seul la comptabilité ; ne certifie pas les comptes.</w:t>
            </w:r>
          </w:p>
        </w:tc>
      </w:tr>
      <w:tr>
        <w:trPr>
          <w:cantSplit/>
        </w:trPr>
        <w:tc>
          <w:tcPr>
            <w:tcW w:type="dxa" w:w="22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Expert-comptable</w:t>
            </w:r>
          </w:p>
        </w:tc>
        <w:tc>
          <w:tcPr>
            <w:tcW w:type="dxa" w:w="42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Tient ou présente les comptes, suit dotation et fonds dédiés</w:t>
            </w:r>
          </w:p>
        </w:tc>
        <w:tc>
          <w:tcPr>
            <w:tcW w:type="dxa" w:w="33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S'il est administrateur, il ne reçoit aucune mission rémunérée du fonds ; option déconseillée.</w:t>
            </w:r>
          </w:p>
        </w:tc>
      </w:tr>
      <w:tr>
        <w:trPr>
          <w:cantSplit/>
        </w:trPr>
        <w:tc>
          <w:tcPr>
            <w:tcW w:type="dxa" w:w="22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Commissaire aux comptes</w:t>
            </w:r>
          </w:p>
        </w:tc>
        <w:tc>
          <w:tcPr>
            <w:tcW w:type="dxa" w:w="42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Certifie les comptes et contrôle la concordance du rapport</w:t>
            </w:r>
          </w:p>
        </w:tc>
        <w:tc>
          <w:tcPr>
            <w:tcW w:type="dxa" w:w="33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N'est ni administrateur, ni gestionnaire, ni signataire bancaire.</w:t>
            </w:r>
          </w:p>
        </w:tc>
      </w:tr>
    </w:tbl>
    <w:p>
      <w:pPr>
        <w:spacing w:after="40"/>
      </w:pPr>
    </w:p>
    <w:p>
      <w:pPr>
        <w:spacing w:before="100" w:after="140" w:line="264" w:lineRule="auto"/>
        <w:ind w:left="142" w:right="142"/>
        <w:shd w:fill="EAF5F0" w:val="clear"/>
        <w:pBdr>
          <w:left w:val="single" w:sz="20" w:space="6" w:color="2E765E"/>
        </w:pBdr>
      </w:pPr>
      <w:r>
        <w:rPr>
          <w:rFonts w:ascii="Nimbus Sans" w:hAnsi="Nimbus Sans" w:eastAsia="Nimbus Sans"/>
          <w:b/>
          <w:i w:val="0"/>
          <w:color w:val="2E765E"/>
          <w:sz w:val="18"/>
        </w:rPr>
        <w:t xml:space="preserve">CHOIX RECOMMANDÉ  </w:t>
      </w:r>
      <w:r>
        <w:rPr>
          <w:rFonts w:ascii="Nimbus Sans" w:hAnsi="Nimbus Sans" w:eastAsia="Nimbus Sans"/>
          <w:b w:val="0"/>
          <w:i w:val="0"/>
          <w:color w:val="222B35"/>
          <w:sz w:val="18"/>
        </w:rPr>
        <w:t>Nommer un administrateur financier indépendant au conseil, un expert-comptable externe sous lettre de mission et un commissaire aux comptes externe distinct. La certification est obligatoire dès que les ressources dépassent 10 000 € en fin d'exercice. [R1-R3, R7]</w:t>
      </w:r>
    </w:p>
    <w:p>
      <w:pPr>
        <w:pStyle w:val="Heading1"/>
        <w:keepNext/>
        <w:pageBreakBefore w:val="0"/>
        <w:pBdr>
          <w:left w:val="single" w:sz="18" w:space="8" w:color="C5A46D"/>
        </w:pBdr>
      </w:pPr>
      <w:r>
        <w:rPr>
          <w:rFonts w:ascii="Nimbus Sans" w:hAnsi="Nimbus Sans" w:eastAsia="Nimbus Sans"/>
          <w:b/>
          <w:i w:val="0"/>
          <w:color w:val="0F2747"/>
          <w:sz w:val="36"/>
        </w:rPr>
        <w:t>7. Prévention des conflits d'intérêts et protection de PLU.immo</w:t>
      </w:r>
    </w:p>
    <w:p>
      <w:pPr>
        <w:pStyle w:val="Heading2"/>
        <w:keepNext/>
      </w:pPr>
      <w:r>
        <w:rPr>
          <w:rFonts w:ascii="Nimbus Sans" w:hAnsi="Nimbus Sans" w:eastAsia="Nimbus Sans"/>
          <w:b/>
          <w:i w:val="0"/>
          <w:color w:val="2E6FA3"/>
          <w:sz w:val="26"/>
        </w:rPr>
        <w:t>7.1 Déclaration annuelle</w:t>
      </w:r>
    </w:p>
    <w:p>
      <w:pPr>
        <w:keepLines w:val="0"/>
        <w:spacing w:before="0" w:after="80" w:line="269" w:lineRule="auto"/>
        <w:jc w:val="left"/>
      </w:pPr>
      <w:r>
        <w:rPr>
          <w:rFonts w:ascii="Nimbus Sans" w:hAnsi="Nimbus Sans" w:eastAsia="Nimbus Sans"/>
          <w:b w:val="0"/>
          <w:i w:val="0"/>
          <w:color w:val="222B35"/>
          <w:sz w:val="19"/>
        </w:rPr>
        <w:t>Chaque administrateur, membre de comité, salarié, expert ou rapporteur déclare à sa nomination puis annuellement ses mandats, activités, intérêts financiers, liens familiaux proches, missions de conseil et relations avec la SAS PLU, ses partenaires, les communes candidates et leurs fournisseurs.</w:t>
      </w:r>
    </w:p>
    <w:p>
      <w:pPr>
        <w:pStyle w:val="Heading2"/>
        <w:keepNext/>
      </w:pPr>
      <w:r>
        <w:rPr>
          <w:rFonts w:ascii="Nimbus Sans" w:hAnsi="Nimbus Sans" w:eastAsia="Nimbus Sans"/>
          <w:b/>
          <w:i w:val="0"/>
          <w:color w:val="2E6FA3"/>
          <w:sz w:val="26"/>
        </w:rPr>
        <w:t>7.2 Cas de déport obligatoire</w:t>
      </w:r>
    </w:p>
    <w:p>
      <w:pPr>
        <w:pStyle w:val="ListBullet"/>
        <w:spacing w:after="40" w:line="259" w:lineRule="auto"/>
        <w:ind w:left="312" w:hanging="125"/>
      </w:pPr>
      <w:r>
        <w:rPr>
          <w:rFonts w:ascii="Nimbus Sans" w:hAnsi="Nimbus Sans" w:eastAsia="Nimbus Sans"/>
          <w:b w:val="0"/>
          <w:i w:val="0"/>
          <w:color w:val="222B35"/>
          <w:sz w:val="18"/>
        </w:rPr>
        <w:t>mandat électif, emploi, conseil ou intérêt dans la commune candidate ;</w:t>
      </w:r>
    </w:p>
    <w:p>
      <w:pPr>
        <w:pStyle w:val="ListBullet"/>
        <w:spacing w:after="40" w:line="259" w:lineRule="auto"/>
        <w:ind w:left="312" w:hanging="125"/>
      </w:pPr>
      <w:r>
        <w:rPr>
          <w:rFonts w:ascii="Nimbus Sans" w:hAnsi="Nimbus Sans" w:eastAsia="Nimbus Sans"/>
          <w:b w:val="0"/>
          <w:i w:val="0"/>
          <w:color w:val="222B35"/>
          <w:sz w:val="18"/>
        </w:rPr>
        <w:t>lien avec le maître d'œuvre, l'association porteuse, un fournisseur ou un mécène du projet ;</w:t>
      </w:r>
    </w:p>
    <w:p>
      <w:pPr>
        <w:pStyle w:val="ListBullet"/>
        <w:spacing w:after="40" w:line="259" w:lineRule="auto"/>
        <w:ind w:left="312" w:hanging="125"/>
      </w:pPr>
      <w:r>
        <w:rPr>
          <w:rFonts w:ascii="Nimbus Sans" w:hAnsi="Nimbus Sans" w:eastAsia="Nimbus Sans"/>
          <w:b w:val="0"/>
          <w:i w:val="0"/>
          <w:color w:val="222B35"/>
          <w:sz w:val="18"/>
        </w:rPr>
        <w:t>relation commerciale avec la SAS PLU ou un partenaire candidat dans les 24 derniers mois ;</w:t>
      </w:r>
    </w:p>
    <w:p>
      <w:pPr>
        <w:pStyle w:val="ListBullet"/>
        <w:spacing w:after="40" w:line="259" w:lineRule="auto"/>
        <w:ind w:left="312" w:hanging="125"/>
      </w:pPr>
      <w:r>
        <w:rPr>
          <w:rFonts w:ascii="Nimbus Sans" w:hAnsi="Nimbus Sans" w:eastAsia="Nimbus Sans"/>
          <w:b w:val="0"/>
          <w:i w:val="0"/>
          <w:color w:val="222B35"/>
          <w:sz w:val="18"/>
        </w:rPr>
        <w:t>avantage personnel, familial, politique ou professionnel attendu ;</w:t>
      </w:r>
    </w:p>
    <w:p>
      <w:pPr>
        <w:pStyle w:val="ListBullet"/>
        <w:spacing w:after="40" w:line="259" w:lineRule="auto"/>
        <w:ind w:left="312" w:hanging="125"/>
      </w:pPr>
      <w:r>
        <w:rPr>
          <w:rFonts w:ascii="Nimbus Sans" w:hAnsi="Nimbus Sans" w:eastAsia="Nimbus Sans"/>
          <w:b w:val="0"/>
          <w:i w:val="0"/>
          <w:color w:val="222B35"/>
          <w:sz w:val="18"/>
        </w:rPr>
        <w:t>participation à la rédaction du dossier de candidature.</w:t>
      </w:r>
    </w:p>
    <w:p>
      <w:pPr>
        <w:keepLines w:val="0"/>
        <w:spacing w:before="0" w:after="80" w:line="269" w:lineRule="auto"/>
        <w:jc w:val="left"/>
      </w:pPr>
      <w:r>
        <w:rPr>
          <w:rFonts w:ascii="Nimbus Sans" w:hAnsi="Nimbus Sans" w:eastAsia="Nimbus Sans"/>
          <w:b w:val="0"/>
          <w:i w:val="0"/>
          <w:color w:val="222B35"/>
          <w:sz w:val="19"/>
        </w:rPr>
        <w:t>La personne concernée quitte la séance pour l'examen du dossier ; son absence, la nature générique du conflit et son non-vote figurent au procès-verbal. Elle ne reçoit pas les pièces confidentielles qui ne lui sont pas nécessaires.</w:t>
      </w:r>
    </w:p>
    <w:p>
      <w:pPr>
        <w:pStyle w:val="Heading2"/>
        <w:keepNext/>
      </w:pPr>
      <w:r>
        <w:rPr>
          <w:rFonts w:ascii="Nimbus Sans" w:hAnsi="Nimbus Sans" w:eastAsia="Nimbus Sans"/>
          <w:b/>
          <w:i w:val="0"/>
          <w:color w:val="2E6FA3"/>
          <w:sz w:val="26"/>
        </w:rPr>
        <w:t>7.3 Parties liées et fournisseurs</w:t>
      </w:r>
    </w:p>
    <w:p>
      <w:pPr>
        <w:spacing w:before="100" w:after="140" w:line="264" w:lineRule="auto"/>
        <w:ind w:left="142" w:right="142"/>
        <w:shd w:fill="FCECEE" w:val="clear"/>
        <w:pBdr>
          <w:left w:val="single" w:sz="20" w:space="6" w:color="C8102E"/>
        </w:pBdr>
      </w:pPr>
      <w:r>
        <w:rPr>
          <w:rFonts w:ascii="Nimbus Sans" w:hAnsi="Nimbus Sans" w:eastAsia="Nimbus Sans"/>
          <w:b/>
          <w:i w:val="0"/>
          <w:color w:val="C8102E"/>
          <w:sz w:val="18"/>
        </w:rPr>
        <w:t xml:space="preserve">RÈGLE D'ÉTANCHÉITÉ  </w:t>
      </w:r>
      <w:r>
        <w:rPr>
          <w:rFonts w:ascii="Nimbus Sans" w:hAnsi="Nimbus Sans" w:eastAsia="Nimbus Sans"/>
          <w:b w:val="0"/>
          <w:i w:val="0"/>
          <w:color w:val="222B35"/>
          <w:sz w:val="18"/>
        </w:rPr>
        <w:t>Le fonds ne finance pas une prestation vendue par PLU.immo, une société contrôlée ou dirigée par ses associés, un administrateur, un salarié du fonds ou leurs proches. Toute exception légale et strictement nécessaire exigerait une mise en concurrence documentée, un avis favorable du comité d'éthique et un vote des 3/4 des administrateurs indépendants ; la charte recommande de l'interdire entièrement pour le cycle 2028.</w:t>
      </w:r>
    </w:p>
    <w:p>
      <w:pPr>
        <w:pStyle w:val="Heading2"/>
        <w:keepNext/>
      </w:pPr>
      <w:r>
        <w:rPr>
          <w:rFonts w:ascii="Nimbus Sans" w:hAnsi="Nimbus Sans" w:eastAsia="Nimbus Sans"/>
          <w:b/>
          <w:i w:val="0"/>
          <w:color w:val="2E6FA3"/>
          <w:sz w:val="26"/>
        </w:rPr>
        <w:t>7.4 Donateurs et entreprises payant la redevance d'une commune</w:t>
      </w:r>
    </w:p>
    <w:p>
      <w:pPr>
        <w:keepLines w:val="0"/>
        <w:spacing w:before="0" w:after="80" w:line="269" w:lineRule="auto"/>
        <w:jc w:val="left"/>
      </w:pPr>
      <w:r>
        <w:rPr>
          <w:rFonts w:ascii="Nimbus Sans" w:hAnsi="Nimbus Sans" w:eastAsia="Nimbus Sans"/>
          <w:b w:val="0"/>
          <w:i w:val="0"/>
          <w:color w:val="222B35"/>
          <w:sz w:val="19"/>
        </w:rPr>
        <w:t>Une entreprise peut régler la redevance PLU pour une commune uniquement dans un cadre tripartite transparent : accord écrit de la commune, identité publique du payeur, absence de droit sur le choix des projets, absence de promesse de marché ou d'autorisation, et renonciation à cibler la contribution du fonds. Ce paiement n'augmente ni la note ni le plafond d'aide de la commune.</w:t>
      </w:r>
    </w:p>
    <w:p>
      <w:pPr>
        <w:pStyle w:val="Heading2"/>
        <w:keepNext/>
      </w:pPr>
      <w:r>
        <w:rPr>
          <w:rFonts w:ascii="Nimbus Sans" w:hAnsi="Nimbus Sans" w:eastAsia="Nimbus Sans"/>
          <w:b/>
          <w:i w:val="0"/>
          <w:color w:val="2E6FA3"/>
          <w:sz w:val="26"/>
        </w:rPr>
        <w:t>7.5 Transparence</w:t>
      </w:r>
    </w:p>
    <w:p>
      <w:pPr>
        <w:pStyle w:val="ListBullet"/>
        <w:spacing w:after="40" w:line="259" w:lineRule="auto"/>
        <w:ind w:left="312" w:hanging="125"/>
      </w:pPr>
      <w:r>
        <w:rPr>
          <w:rFonts w:ascii="Nimbus Sans" w:hAnsi="Nimbus Sans" w:eastAsia="Nimbus Sans"/>
          <w:b w:val="0"/>
          <w:i w:val="0"/>
          <w:color w:val="222B35"/>
          <w:sz w:val="18"/>
        </w:rPr>
        <w:t>publication annuelle de la composition des organes, du barème, des projets aidés, des montants et des indicateurs ;</w:t>
      </w:r>
    </w:p>
    <w:p>
      <w:pPr>
        <w:pStyle w:val="ListBullet"/>
        <w:spacing w:after="40" w:line="259" w:lineRule="auto"/>
        <w:ind w:left="312" w:hanging="125"/>
      </w:pPr>
      <w:r>
        <w:rPr>
          <w:rFonts w:ascii="Nimbus Sans" w:hAnsi="Nimbus Sans" w:eastAsia="Nimbus Sans"/>
          <w:b w:val="0"/>
          <w:i w:val="0"/>
          <w:color w:val="222B35"/>
          <w:sz w:val="18"/>
        </w:rPr>
        <w:t>publication des comptes selon les règles applicables et mise à disposition d'une synthèse pédagogique ;</w:t>
      </w:r>
    </w:p>
    <w:p>
      <w:pPr>
        <w:pStyle w:val="ListBullet"/>
        <w:spacing w:after="40" w:line="259" w:lineRule="auto"/>
        <w:ind w:left="312" w:hanging="125"/>
      </w:pPr>
      <w:r>
        <w:rPr>
          <w:rFonts w:ascii="Nimbus Sans" w:hAnsi="Nimbus Sans" w:eastAsia="Nimbus Sans"/>
          <w:b w:val="0"/>
          <w:i w:val="0"/>
          <w:color w:val="222B35"/>
          <w:sz w:val="18"/>
        </w:rPr>
        <w:t>registre des conventions réglementées et des déports, accessible au CAC et à la préfecture ;</w:t>
      </w:r>
    </w:p>
    <w:p>
      <w:pPr>
        <w:pStyle w:val="ListBullet"/>
        <w:spacing w:after="40" w:line="259" w:lineRule="auto"/>
        <w:ind w:left="312" w:hanging="125"/>
      </w:pPr>
      <w:r>
        <w:rPr>
          <w:rFonts w:ascii="Nimbus Sans" w:hAnsi="Nimbus Sans" w:eastAsia="Nimbus Sans"/>
          <w:b w:val="0"/>
          <w:i w:val="0"/>
          <w:color w:val="222B35"/>
          <w:sz w:val="18"/>
        </w:rPr>
        <w:t>canal d'alerte confidentiel et procédure de traitement ;</w:t>
      </w:r>
    </w:p>
    <w:p>
      <w:pPr>
        <w:pStyle w:val="ListBullet"/>
        <w:spacing w:after="40" w:line="259" w:lineRule="auto"/>
        <w:ind w:left="312" w:hanging="125"/>
      </w:pPr>
      <w:r>
        <w:rPr>
          <w:rFonts w:ascii="Nimbus Sans" w:hAnsi="Nimbus Sans" w:eastAsia="Nimbus Sans"/>
          <w:b w:val="0"/>
          <w:i w:val="0"/>
          <w:color w:val="222B35"/>
          <w:sz w:val="18"/>
        </w:rPr>
        <w:t>interdiction des cadeaux supérieurs à 50 € et déclaration de tout avantage ou invitation.</w:t>
      </w:r>
    </w:p>
    <w:p>
      <w:r>
        <w:br w:type="page"/>
      </w:r>
    </w:p>
    <w:p>
      <w:pPr>
        <w:pStyle w:val="Heading1"/>
        <w:keepNext/>
        <w:pageBreakBefore w:val="0"/>
        <w:pBdr>
          <w:left w:val="single" w:sz="18" w:space="8" w:color="C5A46D"/>
        </w:pBdr>
      </w:pPr>
      <w:r>
        <w:rPr>
          <w:rFonts w:ascii="Nimbus Sans" w:hAnsi="Nimbus Sans" w:eastAsia="Nimbus Sans"/>
          <w:b/>
          <w:i w:val="0"/>
          <w:color w:val="0F2747"/>
          <w:sz w:val="36"/>
        </w:rPr>
        <w:t>8. Communes éligibles et rôle de la redevance PLU</w:t>
      </w:r>
    </w:p>
    <w:p>
      <w:pPr>
        <w:pStyle w:val="Heading2"/>
        <w:keepNext/>
      </w:pPr>
      <w:r>
        <w:rPr>
          <w:rFonts w:ascii="Nimbus Sans" w:hAnsi="Nimbus Sans" w:eastAsia="Nimbus Sans"/>
          <w:b/>
          <w:i w:val="0"/>
          <w:color w:val="2E6FA3"/>
          <w:sz w:val="26"/>
        </w:rPr>
        <w:t>8.1 Recevabilité de base</w:t>
      </w:r>
    </w:p>
    <w:p>
      <w:pPr>
        <w:keepLines w:val="0"/>
        <w:spacing w:before="0" w:after="80" w:line="269" w:lineRule="auto"/>
        <w:jc w:val="left"/>
      </w:pPr>
      <w:r>
        <w:rPr>
          <w:rFonts w:ascii="Nimbus Sans" w:hAnsi="Nimbus Sans" w:eastAsia="Nimbus Sans"/>
          <w:b w:val="0"/>
          <w:i w:val="0"/>
          <w:color w:val="222B35"/>
          <w:sz w:val="19"/>
        </w:rPr>
        <w:t>Pour le cycle 2028, une candidature est recevable si toutes les conditions suivantes sont réunies :</w:t>
      </w:r>
    </w:p>
    <w:p>
      <w:pPr>
        <w:pStyle w:val="ListBullet"/>
        <w:spacing w:after="40" w:line="259" w:lineRule="auto"/>
        <w:ind w:left="312" w:hanging="125"/>
      </w:pPr>
      <w:r>
        <w:rPr>
          <w:rFonts w:ascii="Nimbus Sans" w:hAnsi="Nimbus Sans" w:eastAsia="Nimbus Sans"/>
          <w:b w:val="0"/>
          <w:i w:val="0"/>
          <w:color w:val="222B35"/>
          <w:sz w:val="18"/>
        </w:rPr>
        <w:t>candidat principal : commune française ou groupement public agissant pour une commune identifiée ;</w:t>
      </w:r>
    </w:p>
    <w:p>
      <w:pPr>
        <w:pStyle w:val="ListBullet"/>
        <w:spacing w:after="40" w:line="259" w:lineRule="auto"/>
        <w:ind w:left="312" w:hanging="125"/>
      </w:pPr>
      <w:r>
        <w:rPr>
          <w:rFonts w:ascii="Nimbus Sans" w:hAnsi="Nimbus Sans" w:eastAsia="Nimbus Sans"/>
          <w:b w:val="0"/>
          <w:i w:val="0"/>
          <w:color w:val="222B35"/>
          <w:sz w:val="18"/>
        </w:rPr>
        <w:t>population municipale INSEE inférieure ou égale à 20 000 habitants, avec dérogation motivée jusqu'à 50 000 habitants pour une commune présentant un quartier prioritaire, une centralité rurale ou un sinistre patrimonial majeur ;</w:t>
      </w:r>
    </w:p>
    <w:p>
      <w:pPr>
        <w:pStyle w:val="ListBullet"/>
        <w:spacing w:after="40" w:line="259" w:lineRule="auto"/>
        <w:ind w:left="312" w:hanging="125"/>
      </w:pPr>
      <w:r>
        <w:rPr>
          <w:rFonts w:ascii="Nimbus Sans" w:hAnsi="Nimbus Sans" w:eastAsia="Nimbus Sans"/>
          <w:b w:val="0"/>
          <w:i w:val="0"/>
          <w:color w:val="222B35"/>
          <w:sz w:val="18"/>
        </w:rPr>
        <w:t>capacité financière faible : potentiel financier par habitant inférieur à la médiane de la strate ou bénéfice d'un dispositif objectif de solidarité territoriale ;</w:t>
      </w:r>
    </w:p>
    <w:p>
      <w:pPr>
        <w:pStyle w:val="ListBullet"/>
        <w:spacing w:after="40" w:line="259" w:lineRule="auto"/>
        <w:ind w:left="312" w:hanging="125"/>
      </w:pPr>
      <w:r>
        <w:rPr>
          <w:rFonts w:ascii="Nimbus Sans" w:hAnsi="Nimbus Sans" w:eastAsia="Nimbus Sans"/>
          <w:b w:val="0"/>
          <w:i w:val="0"/>
          <w:color w:val="222B35"/>
          <w:sz w:val="18"/>
        </w:rPr>
        <w:t>projet relevant d'au moins un des trois axes et bénéficiant largement aux habitants ;</w:t>
      </w:r>
    </w:p>
    <w:p>
      <w:pPr>
        <w:pStyle w:val="ListBullet"/>
        <w:spacing w:after="40" w:line="259" w:lineRule="auto"/>
        <w:ind w:left="312" w:hanging="125"/>
      </w:pPr>
      <w:r>
        <w:rPr>
          <w:rFonts w:ascii="Nimbus Sans" w:hAnsi="Nimbus Sans" w:eastAsia="Nimbus Sans"/>
          <w:b w:val="0"/>
          <w:i w:val="0"/>
          <w:color w:val="222B35"/>
          <w:sz w:val="18"/>
        </w:rPr>
        <w:t>délibération ou décision compétente autorisant la candidature et la convention ;</w:t>
      </w:r>
    </w:p>
    <w:p>
      <w:pPr>
        <w:pStyle w:val="ListBullet"/>
        <w:spacing w:after="40" w:line="259" w:lineRule="auto"/>
        <w:ind w:left="312" w:hanging="125"/>
      </w:pPr>
      <w:r>
        <w:rPr>
          <w:rFonts w:ascii="Nimbus Sans" w:hAnsi="Nimbus Sans" w:eastAsia="Nimbus Sans"/>
          <w:b w:val="0"/>
          <w:i w:val="0"/>
          <w:color w:val="222B35"/>
          <w:sz w:val="18"/>
        </w:rPr>
        <w:t>cofinancement et calendrier crédibles, maîtrise foncière ou autorisation du propriétaire ;</w:t>
      </w:r>
    </w:p>
    <w:p>
      <w:pPr>
        <w:pStyle w:val="ListBullet"/>
        <w:spacing w:after="40" w:line="259" w:lineRule="auto"/>
        <w:ind w:left="312" w:hanging="125"/>
      </w:pPr>
      <w:r>
        <w:rPr>
          <w:rFonts w:ascii="Nimbus Sans" w:hAnsi="Nimbus Sans" w:eastAsia="Nimbus Sans"/>
          <w:b w:val="0"/>
          <w:i w:val="0"/>
          <w:color w:val="222B35"/>
          <w:sz w:val="18"/>
        </w:rPr>
        <w:t>engagement à isoler les fonds reçus dans la comptabilité et à produire une attestation d'affectation.</w:t>
      </w:r>
    </w:p>
    <w:p>
      <w:pPr>
        <w:pStyle w:val="Heading2"/>
        <w:keepNext/>
      </w:pPr>
      <w:r>
        <w:rPr>
          <w:rFonts w:ascii="Nimbus Sans" w:hAnsi="Nimbus Sans" w:eastAsia="Nimbus Sans"/>
          <w:b/>
          <w:i w:val="0"/>
          <w:color w:val="2E6FA3"/>
          <w:sz w:val="26"/>
        </w:rPr>
        <w:t>8.2 Deux voies de candidature</w:t>
      </w:r>
    </w:p>
    <w:tbl>
      <w:tblPr>
        <w:tblStyle w:val="TableGrid"/>
        <w:tblW w:type="dxa" w:w="9740"/>
        <w:jc w:val="left"/>
        <w:tblLayout w:type="fixed"/>
        <w:tblLook w:firstColumn="1" w:firstRow="1" w:lastColumn="0" w:lastRow="0" w:noHBand="0" w:noVBand="1" w:val="04A0"/>
        <w:tblInd w:w="120" w:type="dxa"/>
        <w:tblBorders>
          <w:top w:val="single" w:sz="6" w:color="D9DEE5"/>
          <w:left w:val="single" w:sz="6" w:color="D9DEE5"/>
          <w:bottom w:val="single" w:sz="6" w:color="D9DEE5"/>
          <w:right w:val="single" w:sz="6" w:color="D9DEE5"/>
          <w:insideH w:val="single" w:sz="6" w:color="D9DEE5"/>
          <w:insideV w:val="single" w:sz="6" w:color="D9DEE5"/>
        </w:tblBorders>
      </w:tblPr>
      <w:tblGrid>
        <w:gridCol w:w="2200"/>
        <w:gridCol w:w="3800"/>
        <w:gridCol w:w="3740"/>
      </w:tblGrid>
      <w:tr>
        <w:trPr>
          <w:tblHeader w:val="true"/>
          <w:cantSplit/>
        </w:trPr>
        <w:tc>
          <w:tcPr>
            <w:tcW w:type="dxa" w:w="22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Voie</w:t>
            </w:r>
          </w:p>
        </w:tc>
        <w:tc>
          <w:tcPr>
            <w:tcW w:type="dxa" w:w="38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Condition PLU</w:t>
            </w:r>
          </w:p>
        </w:tc>
        <w:tc>
          <w:tcPr>
            <w:tcW w:type="dxa" w:w="374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Finalité</w:t>
            </w:r>
          </w:p>
        </w:tc>
      </w:tr>
      <w:tr>
        <w:trPr>
          <w:cantSplit/>
        </w:trPr>
        <w:tc>
          <w:tcPr>
            <w:tcW w:type="dxa" w:w="22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Partenaire</w:t>
            </w:r>
          </w:p>
        </w:tc>
        <w:tc>
          <w:tcPr>
            <w:tcW w:type="dxa" w:w="38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Redevance communale acquittée au 31 mars 2028 par la commune ou un tiers déclaré</w:t>
            </w:r>
          </w:p>
        </w:tc>
        <w:tc>
          <w:tcPr>
            <w:tcW w:type="dxa" w:w="37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Concrétiser la solidarité liée au réseau PLU.immo sans droit automatique.</w:t>
            </w:r>
          </w:p>
        </w:tc>
      </w:tr>
      <w:tr>
        <w:trPr>
          <w:cantSplit/>
        </w:trPr>
        <w:tc>
          <w:tcPr>
            <w:tcW w:type="dxa" w:w="22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Équité territoriale</w:t>
            </w:r>
          </w:p>
        </w:tc>
        <w:tc>
          <w:tcPr>
            <w:tcW w:type="dxa" w:w="38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Aucune redevance exigée</w:t>
            </w:r>
          </w:p>
        </w:tc>
        <w:tc>
          <w:tcPr>
            <w:tcW w:type="dxa" w:w="37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Maintenir l'ouverture d'intérêt général et éviter un cercle exclusivement commercial ; au moins 20 % de l'enveloppe annuelle.</w:t>
            </w:r>
          </w:p>
        </w:tc>
      </w:tr>
    </w:tbl>
    <w:p>
      <w:pPr>
        <w:spacing w:after="40"/>
      </w:pPr>
    </w:p>
    <w:p>
      <w:pPr>
        <w:spacing w:before="100" w:after="140" w:line="264" w:lineRule="auto"/>
        <w:ind w:left="142" w:right="142"/>
        <w:shd w:fill="F7F1E7" w:val="clear"/>
        <w:pBdr>
          <w:left w:val="single" w:sz="20" w:space="6" w:color="C5A46D"/>
        </w:pBdr>
      </w:pPr>
      <w:r>
        <w:rPr>
          <w:rFonts w:ascii="Nimbus Sans" w:hAnsi="Nimbus Sans" w:eastAsia="Nimbus Sans"/>
          <w:b/>
          <w:i w:val="0"/>
          <w:color w:val="C5A46D"/>
          <w:sz w:val="18"/>
        </w:rPr>
        <w:t xml:space="preserve">RÈGLE PROPOSÉE  </w:t>
      </w:r>
      <w:r>
        <w:rPr>
          <w:rFonts w:ascii="Nimbus Sans" w:hAnsi="Nimbus Sans" w:eastAsia="Nimbus Sans"/>
          <w:b w:val="0"/>
          <w:i w:val="0"/>
          <w:color w:val="222B35"/>
          <w:sz w:val="18"/>
        </w:rPr>
        <w:t>Le paiement de la redevance PLU rend la commune recevable dans la voie Partenaire et apporte un bonus maximal de 5 points sur 100. Il ne garantit jamais une attribution, ne majore pas le montant et n'autorise aucun remboursement de redevance par le fonds.</w:t>
      </w:r>
    </w:p>
    <w:p>
      <w:pPr>
        <w:pStyle w:val="Heading2"/>
        <w:keepNext/>
      </w:pPr>
      <w:r>
        <w:rPr>
          <w:rFonts w:ascii="Nimbus Sans" w:hAnsi="Nimbus Sans" w:eastAsia="Nimbus Sans"/>
          <w:b/>
          <w:i w:val="0"/>
          <w:color w:val="2E6FA3"/>
          <w:sz w:val="26"/>
        </w:rPr>
        <w:t>8.3 Redevance payée par une entreprise</w:t>
      </w:r>
    </w:p>
    <w:p>
      <w:pPr>
        <w:pStyle w:val="ListBullet"/>
        <w:spacing w:after="40" w:line="259" w:lineRule="auto"/>
        <w:ind w:left="312" w:hanging="125"/>
      </w:pPr>
      <w:r>
        <w:rPr>
          <w:rFonts w:ascii="Nimbus Sans" w:hAnsi="Nimbus Sans" w:eastAsia="Nimbus Sans"/>
          <w:b w:val="0"/>
          <w:i w:val="0"/>
          <w:color w:val="222B35"/>
          <w:sz w:val="18"/>
        </w:rPr>
        <w:t>convention tripartite SAS PLU / commune / entreprise ;</w:t>
      </w:r>
    </w:p>
    <w:p>
      <w:pPr>
        <w:pStyle w:val="ListBullet"/>
        <w:spacing w:after="40" w:line="259" w:lineRule="auto"/>
        <w:ind w:left="312" w:hanging="125"/>
      </w:pPr>
      <w:r>
        <w:rPr>
          <w:rFonts w:ascii="Nimbus Sans" w:hAnsi="Nimbus Sans" w:eastAsia="Nimbus Sans"/>
          <w:b w:val="0"/>
          <w:i w:val="0"/>
          <w:color w:val="222B35"/>
          <w:sz w:val="18"/>
        </w:rPr>
        <w:t>facture et comptabilisation conformes ; identité du payeur connue du fonds ;</w:t>
      </w:r>
    </w:p>
    <w:p>
      <w:pPr>
        <w:pStyle w:val="ListBullet"/>
        <w:spacing w:after="40" w:line="259" w:lineRule="auto"/>
        <w:ind w:left="312" w:hanging="125"/>
      </w:pPr>
      <w:r>
        <w:rPr>
          <w:rFonts w:ascii="Nimbus Sans" w:hAnsi="Nimbus Sans" w:eastAsia="Nimbus Sans"/>
          <w:b w:val="0"/>
          <w:i w:val="0"/>
          <w:color w:val="222B35"/>
          <w:sz w:val="18"/>
        </w:rPr>
        <w:t>acceptation formelle de la commune et absence de contrepartie publique ;</w:t>
      </w:r>
    </w:p>
    <w:p>
      <w:pPr>
        <w:pStyle w:val="ListBullet"/>
        <w:spacing w:after="40" w:line="259" w:lineRule="auto"/>
        <w:ind w:left="312" w:hanging="125"/>
      </w:pPr>
      <w:r>
        <w:rPr>
          <w:rFonts w:ascii="Nimbus Sans" w:hAnsi="Nimbus Sans" w:eastAsia="Nimbus Sans"/>
          <w:b w:val="0"/>
          <w:i w:val="0"/>
          <w:color w:val="222B35"/>
          <w:sz w:val="18"/>
        </w:rPr>
        <w:t>entreprise exclue de l'instruction du projet et de tout comité de sélection ;</w:t>
      </w:r>
    </w:p>
    <w:p>
      <w:pPr>
        <w:pStyle w:val="ListBullet"/>
        <w:spacing w:after="40" w:line="259" w:lineRule="auto"/>
        <w:ind w:left="312" w:hanging="125"/>
      </w:pPr>
      <w:r>
        <w:rPr>
          <w:rFonts w:ascii="Nimbus Sans" w:hAnsi="Nimbus Sans" w:eastAsia="Nimbus Sans"/>
          <w:b w:val="0"/>
          <w:i w:val="0"/>
          <w:color w:val="222B35"/>
          <w:sz w:val="18"/>
        </w:rPr>
        <w:t>aucun avantage de notation supplémentaire par rapport à un paiement communal ;</w:t>
      </w:r>
    </w:p>
    <w:p>
      <w:pPr>
        <w:pStyle w:val="ListBullet"/>
        <w:spacing w:after="40" w:line="259" w:lineRule="auto"/>
        <w:ind w:left="312" w:hanging="125"/>
      </w:pPr>
      <w:r>
        <w:rPr>
          <w:rFonts w:ascii="Nimbus Sans" w:hAnsi="Nimbus Sans" w:eastAsia="Nimbus Sans"/>
          <w:b w:val="0"/>
          <w:i w:val="0"/>
          <w:color w:val="222B35"/>
          <w:sz w:val="18"/>
        </w:rPr>
        <w:t>contrôle renforcé si l'entreprise candidate à un marché ou détient un projet sur le territoire.</w:t>
      </w:r>
    </w:p>
    <w:p>
      <w:pPr>
        <w:pStyle w:val="Heading2"/>
        <w:keepNext/>
      </w:pPr>
      <w:r>
        <w:rPr>
          <w:rFonts w:ascii="Nimbus Sans" w:hAnsi="Nimbus Sans" w:eastAsia="Nimbus Sans"/>
          <w:b/>
          <w:i w:val="0"/>
          <w:color w:val="2E6FA3"/>
          <w:sz w:val="26"/>
        </w:rPr>
        <w:t>8.4 Données de comparaison</w:t>
      </w:r>
    </w:p>
    <w:p>
      <w:pPr>
        <w:keepLines w:val="0"/>
        <w:spacing w:before="0" w:after="80" w:line="269" w:lineRule="auto"/>
        <w:jc w:val="left"/>
      </w:pPr>
      <w:r>
        <w:rPr>
          <w:rFonts w:ascii="Nimbus Sans" w:hAnsi="Nimbus Sans" w:eastAsia="Nimbus Sans"/>
          <w:b w:val="0"/>
          <w:i w:val="0"/>
          <w:color w:val="222B35"/>
          <w:sz w:val="19"/>
        </w:rPr>
        <w:t>La population est celle publiée par l'INSEE au 1er janvier de l'année de candidature. La capacité financière est appréciée à partir des données DGCL/DGF les plus récentes : potentiel financier par habitant, effort fiscal, épargne brute, dette et dotations de solidarité, comparés à la strate. Aucune donnée interne PLU.immo autre que le statut de redevance ne participe à la note financière.</w:t>
      </w:r>
    </w:p>
    <w:p>
      <w:pPr>
        <w:pStyle w:val="Heading2"/>
        <w:keepNext/>
      </w:pPr>
      <w:r>
        <w:rPr>
          <w:rFonts w:ascii="Nimbus Sans" w:hAnsi="Nimbus Sans" w:eastAsia="Nimbus Sans"/>
          <w:b/>
          <w:i w:val="0"/>
          <w:color w:val="2E6FA3"/>
          <w:sz w:val="26"/>
        </w:rPr>
        <w:t>8.5 Justificatifs de la redevance</w:t>
      </w:r>
    </w:p>
    <w:tbl>
      <w:tblPr>
        <w:tblStyle w:val="TableGrid"/>
        <w:tblW w:type="dxa" w:w="9740"/>
        <w:jc w:val="left"/>
        <w:tblLayout w:type="fixed"/>
        <w:tblLook w:firstColumn="1" w:firstRow="1" w:lastColumn="0" w:lastRow="0" w:noHBand="0" w:noVBand="1" w:val="04A0"/>
        <w:tblInd w:w="120" w:type="dxa"/>
        <w:tblBorders>
          <w:top w:val="single" w:sz="6" w:color="D9DEE5"/>
          <w:left w:val="single" w:sz="6" w:color="D9DEE5"/>
          <w:bottom w:val="single" w:sz="6" w:color="D9DEE5"/>
          <w:right w:val="single" w:sz="6" w:color="D9DEE5"/>
          <w:insideH w:val="single" w:sz="6" w:color="D9DEE5"/>
          <w:insideV w:val="single" w:sz="6" w:color="D9DEE5"/>
        </w:tblBorders>
      </w:tblPr>
      <w:tblGrid>
        <w:gridCol w:w="3000"/>
        <w:gridCol w:w="6740"/>
      </w:tblGrid>
      <w:tr>
        <w:trPr>
          <w:tblHeader w:val="true"/>
          <w:cantSplit/>
        </w:trPr>
        <w:tc>
          <w:tcPr>
            <w:tcW w:type="dxa" w:w="30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Situation</w:t>
            </w:r>
          </w:p>
        </w:tc>
        <w:tc>
          <w:tcPr>
            <w:tcW w:type="dxa" w:w="674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Pièces à produire</w:t>
            </w:r>
          </w:p>
        </w:tc>
      </w:tr>
      <w:tr>
        <w:trPr>
          <w:cantSplit/>
        </w:trPr>
        <w:tc>
          <w:tcPr>
            <w:tcW w:type="dxa" w:w="30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Paiement par la commune</w:t>
            </w:r>
          </w:p>
        </w:tc>
        <w:tc>
          <w:tcPr>
            <w:tcW w:type="dxa" w:w="67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Facture PLU, preuve de règlement et décision administrative autorisant la dépense.</w:t>
            </w:r>
          </w:p>
        </w:tc>
      </w:tr>
      <w:tr>
        <w:trPr>
          <w:cantSplit/>
        </w:trPr>
        <w:tc>
          <w:tcPr>
            <w:tcW w:type="dxa" w:w="30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Paiement par une entreprise</w:t>
            </w:r>
          </w:p>
        </w:tc>
        <w:tc>
          <w:tcPr>
            <w:tcW w:type="dxa" w:w="67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Convention tripartite, facture et preuve de règlement, acceptation de la commune et déclaration d'intérêts.</w:t>
            </w:r>
          </w:p>
        </w:tc>
      </w:tr>
      <w:tr>
        <w:trPr>
          <w:cantSplit/>
        </w:trPr>
        <w:tc>
          <w:tcPr>
            <w:tcW w:type="dxa" w:w="30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Voie Équité territoriale</w:t>
            </w:r>
          </w:p>
        </w:tc>
        <w:tc>
          <w:tcPr>
            <w:tcW w:type="dxa" w:w="67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Aucun justificatif PLU ; seules les pièces financières et administratives de recevabilité sont demandées.</w:t>
            </w:r>
          </w:p>
        </w:tc>
      </w:tr>
    </w:tbl>
    <w:p>
      <w:pPr>
        <w:spacing w:after="40"/>
      </w:pPr>
    </w:p>
    <w:p>
      <w:pPr>
        <w:spacing w:before="100" w:after="140" w:line="264" w:lineRule="auto"/>
        <w:ind w:left="142" w:right="142"/>
        <w:shd w:fill="F7F1E7" w:val="clear"/>
        <w:pBdr>
          <w:left w:val="single" w:sz="20" w:space="6" w:color="C5A46D"/>
        </w:pBdr>
      </w:pPr>
      <w:r>
        <w:rPr>
          <w:rFonts w:ascii="Nimbus Sans" w:hAnsi="Nimbus Sans" w:eastAsia="Nimbus Sans"/>
          <w:b/>
          <w:i w:val="0"/>
          <w:color w:val="C5A46D"/>
          <w:sz w:val="18"/>
        </w:rPr>
        <w:t xml:space="preserve">DATE DE RÉFÉRENCE  </w:t>
      </w:r>
      <w:r>
        <w:rPr>
          <w:rFonts w:ascii="Nimbus Sans" w:hAnsi="Nimbus Sans" w:eastAsia="Nimbus Sans"/>
          <w:b w:val="0"/>
          <w:i w:val="0"/>
          <w:color w:val="222B35"/>
          <w:sz w:val="18"/>
        </w:rPr>
        <w:t>La situation est arrêtée au 31 mars 2028. Aucune régularisation rétroactive n'est admise après cette date, sauf erreur bancaire objectivement établie et paiement initialement ordonné avant l'échéance.</w:t>
      </w:r>
    </w:p>
    <w:p>
      <w:r>
        <w:br w:type="page"/>
      </w:r>
    </w:p>
    <w:p>
      <w:pPr>
        <w:pStyle w:val="Heading1"/>
        <w:keepNext/>
        <w:pageBreakBefore w:val="0"/>
        <w:pBdr>
          <w:left w:val="single" w:sz="18" w:space="8" w:color="C5A46D"/>
        </w:pBdr>
      </w:pPr>
      <w:r>
        <w:rPr>
          <w:rFonts w:ascii="Nimbus Sans" w:hAnsi="Nimbus Sans" w:eastAsia="Nimbus Sans"/>
          <w:b/>
          <w:i w:val="0"/>
          <w:color w:val="0F2747"/>
          <w:sz w:val="36"/>
        </w:rPr>
        <w:t>9. Barème de sélection 2028</w:t>
      </w:r>
    </w:p>
    <w:tbl>
      <w:tblPr>
        <w:tblStyle w:val="TableGrid"/>
        <w:tblW w:type="dxa" w:w="9740"/>
        <w:jc w:val="left"/>
        <w:tblLayout w:type="fixed"/>
        <w:tblLook w:firstColumn="1" w:firstRow="1" w:lastColumn="0" w:lastRow="0" w:noHBand="0" w:noVBand="1" w:val="04A0"/>
        <w:tblInd w:w="120" w:type="dxa"/>
        <w:tblBorders>
          <w:top w:val="single" w:sz="6" w:color="D9DEE5"/>
          <w:left w:val="single" w:sz="6" w:color="D9DEE5"/>
          <w:bottom w:val="single" w:sz="6" w:color="D9DEE5"/>
          <w:right w:val="single" w:sz="6" w:color="D9DEE5"/>
          <w:insideH w:val="single" w:sz="6" w:color="D9DEE5"/>
          <w:insideV w:val="single" w:sz="6" w:color="D9DEE5"/>
        </w:tblBorders>
      </w:tblPr>
      <w:tblGrid>
        <w:gridCol w:w="3500"/>
        <w:gridCol w:w="900"/>
        <w:gridCol w:w="5340"/>
      </w:tblGrid>
      <w:tr>
        <w:trPr>
          <w:tblHeader w:val="true"/>
          <w:cantSplit/>
        </w:trPr>
        <w:tc>
          <w:tcPr>
            <w:tcW w:type="dxa" w:w="35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Critère</w:t>
            </w:r>
          </w:p>
        </w:tc>
        <w:tc>
          <w:tcPr>
            <w:tcW w:type="dxa" w:w="9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Points</w:t>
            </w:r>
          </w:p>
        </w:tc>
        <w:tc>
          <w:tcPr>
            <w:tcW w:type="dxa" w:w="534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Appréciation</w:t>
            </w:r>
          </w:p>
        </w:tc>
      </w:tr>
      <w:tr>
        <w:trPr>
          <w:cantSplit/>
        </w:trPr>
        <w:tc>
          <w:tcPr>
            <w:tcW w:type="dxa" w:w="35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Fragilité financière et d'ingénierie</w:t>
            </w:r>
          </w:p>
        </w:tc>
        <w:tc>
          <w:tcPr>
            <w:tcW w:type="dxa" w:w="9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25</w:t>
            </w:r>
          </w:p>
        </w:tc>
        <w:tc>
          <w:tcPr>
            <w:tcW w:type="dxa" w:w="53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Comparaison à la strate ; absence d'ingénierie ; cumul de vulnérabilités.</w:t>
            </w:r>
          </w:p>
        </w:tc>
      </w:tr>
      <w:tr>
        <w:trPr>
          <w:cantSplit/>
        </w:trPr>
        <w:tc>
          <w:tcPr>
            <w:tcW w:type="dxa" w:w="35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Petite population / ruralité / quartier prioritaire</w:t>
            </w:r>
          </w:p>
        </w:tc>
        <w:tc>
          <w:tcPr>
            <w:tcW w:type="dxa" w:w="9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10</w:t>
            </w:r>
          </w:p>
        </w:tc>
        <w:tc>
          <w:tcPr>
            <w:tcW w:type="dxa" w:w="53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Priorité décroissante jusqu'à 20 000 habitants ; dérogations motivées.</w:t>
            </w:r>
          </w:p>
        </w:tc>
      </w:tr>
      <w:tr>
        <w:trPr>
          <w:cantSplit/>
        </w:trPr>
        <w:tc>
          <w:tcPr>
            <w:tcW w:type="dxa" w:w="35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Intérêt général et nombre de bénéficiaires</w:t>
            </w:r>
          </w:p>
        </w:tc>
        <w:tc>
          <w:tcPr>
            <w:tcW w:type="dxa" w:w="9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20</w:t>
            </w:r>
          </w:p>
        </w:tc>
        <w:tc>
          <w:tcPr>
            <w:tcW w:type="dxa" w:w="53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Accès, utilité collective, non-lucrativité, inclusion.</w:t>
            </w:r>
          </w:p>
        </w:tc>
      </w:tr>
      <w:tr>
        <w:trPr>
          <w:cantSplit/>
        </w:trPr>
        <w:tc>
          <w:tcPr>
            <w:tcW w:type="dxa" w:w="35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Qualité architecturale, culturelle ou patrimoniale</w:t>
            </w:r>
          </w:p>
        </w:tc>
        <w:tc>
          <w:tcPr>
            <w:tcW w:type="dxa" w:w="9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15</w:t>
            </w:r>
          </w:p>
        </w:tc>
        <w:tc>
          <w:tcPr>
            <w:tcW w:type="dxa" w:w="53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Pertinence, exigence et cohérence avec l'axe.</w:t>
            </w:r>
          </w:p>
        </w:tc>
      </w:tr>
      <w:tr>
        <w:trPr>
          <w:cantSplit/>
        </w:trPr>
        <w:tc>
          <w:tcPr>
            <w:tcW w:type="dxa" w:w="35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Maturité et faisabilité</w:t>
            </w:r>
          </w:p>
        </w:tc>
        <w:tc>
          <w:tcPr>
            <w:tcW w:type="dxa" w:w="9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15</w:t>
            </w:r>
          </w:p>
        </w:tc>
        <w:tc>
          <w:tcPr>
            <w:tcW w:type="dxa" w:w="53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Gouvernance, calendrier, autorisations, budget et cofinancements.</w:t>
            </w:r>
          </w:p>
        </w:tc>
      </w:tr>
      <w:tr>
        <w:trPr>
          <w:cantSplit/>
        </w:trPr>
        <w:tc>
          <w:tcPr>
            <w:tcW w:type="dxa" w:w="35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Impact mesurable et transmission</w:t>
            </w:r>
          </w:p>
        </w:tc>
        <w:tc>
          <w:tcPr>
            <w:tcW w:type="dxa" w:w="9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10</w:t>
            </w:r>
          </w:p>
        </w:tc>
        <w:tc>
          <w:tcPr>
            <w:tcW w:type="dxa" w:w="53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Indicateurs, pérennité, diffusion du retour d'expérience.</w:t>
            </w:r>
          </w:p>
        </w:tc>
      </w:tr>
      <w:tr>
        <w:trPr>
          <w:cantSplit/>
        </w:trPr>
        <w:tc>
          <w:tcPr>
            <w:tcW w:type="dxa" w:w="35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Partenariat PLU</w:t>
            </w:r>
          </w:p>
        </w:tc>
        <w:tc>
          <w:tcPr>
            <w:tcW w:type="dxa" w:w="9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5</w:t>
            </w:r>
          </w:p>
        </w:tc>
        <w:tc>
          <w:tcPr>
            <w:tcW w:type="dxa" w:w="53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Redevance à jour ; 5 points maximum, quel que soit le payeur autorisé.</w:t>
            </w:r>
          </w:p>
        </w:tc>
      </w:tr>
    </w:tbl>
    <w:p>
      <w:pPr>
        <w:spacing w:after="40"/>
      </w:pPr>
    </w:p>
    <w:p>
      <w:pPr>
        <w:keepLines w:val="0"/>
        <w:spacing w:before="0" w:after="80" w:line="269" w:lineRule="auto"/>
        <w:jc w:val="left"/>
      </w:pPr>
      <w:r>
        <w:rPr>
          <w:rFonts w:ascii="Nimbus Sans" w:hAnsi="Nimbus Sans" w:eastAsia="Nimbus Sans"/>
          <w:b w:val="0"/>
          <w:i w:val="0"/>
          <w:color w:val="222B35"/>
          <w:sz w:val="19"/>
        </w:rPr>
        <w:t>Seuil de sélection : 65/100 et au moins 15/25 au critère de fragilité. Les projets sont classés par axe ; les ex aequo sont départagés par la fragilité financière, puis la population, puis l'impact. Une note élevée n'emporte pas de droit si l'enveloppe est insuffisante.</w:t>
      </w:r>
    </w:p>
    <w:p>
      <w:pPr>
        <w:pStyle w:val="Heading2"/>
        <w:keepNext/>
      </w:pPr>
      <w:r>
        <w:rPr>
          <w:rFonts w:ascii="Nimbus Sans" w:hAnsi="Nimbus Sans" w:eastAsia="Nimbus Sans"/>
          <w:b/>
          <w:i w:val="0"/>
          <w:color w:val="2E6FA3"/>
          <w:sz w:val="26"/>
        </w:rPr>
        <w:t>9.1 Répartition de l'enveloppe</w:t>
      </w:r>
    </w:p>
    <w:tbl>
      <w:tblPr>
        <w:tblStyle w:val="TableGrid"/>
        <w:tblW w:type="dxa" w:w="9740"/>
        <w:jc w:val="left"/>
        <w:tblLayout w:type="fixed"/>
        <w:tblLook w:firstColumn="1" w:firstRow="1" w:lastColumn="0" w:lastRow="0" w:noHBand="0" w:noVBand="1" w:val="04A0"/>
        <w:tblInd w:w="120" w:type="dxa"/>
        <w:tblBorders>
          <w:top w:val="single" w:sz="6" w:color="D9DEE5"/>
          <w:left w:val="single" w:sz="6" w:color="D9DEE5"/>
          <w:bottom w:val="single" w:sz="6" w:color="D9DEE5"/>
          <w:right w:val="single" w:sz="6" w:color="D9DEE5"/>
          <w:insideH w:val="single" w:sz="6" w:color="D9DEE5"/>
          <w:insideV w:val="single" w:sz="6" w:color="D9DEE5"/>
        </w:tblBorders>
      </w:tblPr>
      <w:tblGrid>
        <w:gridCol w:w="3000"/>
        <w:gridCol w:w="6740"/>
      </w:tblGrid>
      <w:tr>
        <w:trPr>
          <w:tblHeader w:val="true"/>
          <w:cantSplit/>
        </w:trPr>
        <w:tc>
          <w:tcPr>
            <w:tcW w:type="dxa" w:w="30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Règle</w:t>
            </w:r>
          </w:p>
        </w:tc>
        <w:tc>
          <w:tcPr>
            <w:tcW w:type="dxa" w:w="674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Valeur</w:t>
            </w:r>
          </w:p>
        </w:tc>
      </w:tr>
      <w:tr>
        <w:trPr>
          <w:cantSplit/>
        </w:trPr>
        <w:tc>
          <w:tcPr>
            <w:tcW w:type="dxa" w:w="30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Cible par axe</w:t>
            </w:r>
          </w:p>
        </w:tc>
        <w:tc>
          <w:tcPr>
            <w:tcW w:type="dxa" w:w="67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Un tiers architecture, un tiers culture, un tiers patrimoine.</w:t>
            </w:r>
          </w:p>
        </w:tc>
      </w:tr>
      <w:tr>
        <w:trPr>
          <w:cantSplit/>
        </w:trPr>
        <w:tc>
          <w:tcPr>
            <w:tcW w:type="dxa" w:w="30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Souplesse</w:t>
            </w:r>
          </w:p>
        </w:tc>
        <w:tc>
          <w:tcPr>
            <w:tcW w:type="dxa" w:w="67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Chaque axe peut représenter de 20 % à 50 % selon la qualité des dossiers.</w:t>
            </w:r>
          </w:p>
        </w:tc>
      </w:tr>
      <w:tr>
        <w:trPr>
          <w:cantSplit/>
        </w:trPr>
        <w:tc>
          <w:tcPr>
            <w:tcW w:type="dxa" w:w="30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Plafond par projet</w:t>
            </w:r>
          </w:p>
        </w:tc>
        <w:tc>
          <w:tcPr>
            <w:tcW w:type="dxa" w:w="67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15 % de l'enveloppe annuelle distribuable ; dérogation à 25 % à la majorité des 3/4.</w:t>
            </w:r>
          </w:p>
        </w:tc>
      </w:tr>
      <w:tr>
        <w:trPr>
          <w:cantSplit/>
        </w:trPr>
        <w:tc>
          <w:tcPr>
            <w:tcW w:type="dxa" w:w="30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Taux d'aide</w:t>
            </w:r>
          </w:p>
        </w:tc>
        <w:tc>
          <w:tcPr>
            <w:tcW w:type="dxa" w:w="67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Jusqu'à 80 % des dépenses éligibles ; 90 % pour les communes de moins de 2 000 habitants.</w:t>
            </w:r>
          </w:p>
        </w:tc>
      </w:tr>
      <w:tr>
        <w:trPr>
          <w:cantSplit/>
        </w:trPr>
        <w:tc>
          <w:tcPr>
            <w:tcW w:type="dxa" w:w="30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Cumul</w:t>
            </w:r>
          </w:p>
        </w:tc>
        <w:tc>
          <w:tcPr>
            <w:tcW w:type="dxa" w:w="67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Autorisé avec d'autres aides, sans surfinancement ; le bénéficiaire déclare toutes les ressources.</w:t>
            </w:r>
          </w:p>
        </w:tc>
      </w:tr>
    </w:tbl>
    <w:p>
      <w:pPr>
        <w:spacing w:after="40"/>
      </w:pPr>
    </w:p>
    <w:p>
      <w:pPr>
        <w:pStyle w:val="Heading2"/>
        <w:keepNext/>
      </w:pPr>
      <w:r>
        <w:rPr>
          <w:rFonts w:ascii="Nimbus Sans" w:hAnsi="Nimbus Sans" w:eastAsia="Nimbus Sans"/>
          <w:b/>
          <w:i w:val="0"/>
          <w:color w:val="2E6FA3"/>
          <w:sz w:val="26"/>
        </w:rPr>
        <w:t>9.2 Garanties d'évaluation</w:t>
      </w:r>
    </w:p>
    <w:p>
      <w:pPr>
        <w:pStyle w:val="ListBullet"/>
        <w:spacing w:after="40" w:line="259" w:lineRule="auto"/>
        <w:ind w:left="312" w:hanging="125"/>
      </w:pPr>
      <w:r>
        <w:rPr>
          <w:rFonts w:ascii="Nimbus Sans" w:hAnsi="Nimbus Sans" w:eastAsia="Nimbus Sans"/>
          <w:b w:val="0"/>
          <w:i w:val="0"/>
          <w:color w:val="222B35"/>
          <w:sz w:val="18"/>
        </w:rPr>
        <w:t>deux rapporteurs notent chaque dossier séparément avant toute réunion ;</w:t>
      </w:r>
    </w:p>
    <w:p>
      <w:pPr>
        <w:pStyle w:val="ListBullet"/>
        <w:spacing w:after="40" w:line="259" w:lineRule="auto"/>
        <w:ind w:left="312" w:hanging="125"/>
      </w:pPr>
      <w:r>
        <w:rPr>
          <w:rFonts w:ascii="Nimbus Sans" w:hAnsi="Nimbus Sans" w:eastAsia="Nimbus Sans"/>
          <w:b w:val="0"/>
          <w:i w:val="0"/>
          <w:color w:val="222B35"/>
          <w:sz w:val="18"/>
        </w:rPr>
        <w:t>un écart supérieur à 15 points déclenche une séance de calibration motivée ;</w:t>
      </w:r>
    </w:p>
    <w:p>
      <w:pPr>
        <w:pStyle w:val="ListBullet"/>
        <w:spacing w:after="40" w:line="259" w:lineRule="auto"/>
        <w:ind w:left="312" w:hanging="125"/>
      </w:pPr>
      <w:r>
        <w:rPr>
          <w:rFonts w:ascii="Nimbus Sans" w:hAnsi="Nimbus Sans" w:eastAsia="Nimbus Sans"/>
          <w:b w:val="0"/>
          <w:i w:val="0"/>
          <w:color w:val="222B35"/>
          <w:sz w:val="18"/>
        </w:rPr>
        <w:t>les évaluateurs ne voient ni l'identité d'un donateur ni celle du payeur de la redevance ; le secrétariat ajoute le bonus objectif de 0 ou 5 points après la notation qualitative ;</w:t>
      </w:r>
    </w:p>
    <w:p>
      <w:pPr>
        <w:pStyle w:val="ListBullet"/>
        <w:spacing w:after="40" w:line="259" w:lineRule="auto"/>
        <w:ind w:left="312" w:hanging="125"/>
      </w:pPr>
      <w:r>
        <w:rPr>
          <w:rFonts w:ascii="Nimbus Sans" w:hAnsi="Nimbus Sans" w:eastAsia="Nimbus Sans"/>
          <w:b w:val="0"/>
          <w:i w:val="0"/>
          <w:color w:val="222B35"/>
          <w:sz w:val="18"/>
        </w:rPr>
        <w:t>toute note, réserve, déclaration d'intérêts et décision est motivée par écrit et conservée dans la piste d'audit.</w:t>
      </w:r>
    </w:p>
    <w:p>
      <w:pPr>
        <w:pStyle w:val="Heading2"/>
        <w:keepNext/>
      </w:pPr>
      <w:r>
        <w:rPr>
          <w:rFonts w:ascii="Nimbus Sans" w:hAnsi="Nimbus Sans" w:eastAsia="Nimbus Sans"/>
          <w:b/>
          <w:i w:val="0"/>
          <w:color w:val="2E6FA3"/>
          <w:sz w:val="26"/>
        </w:rPr>
        <w:t>9.3 Règles de décision</w:t>
      </w:r>
    </w:p>
    <w:tbl>
      <w:tblPr>
        <w:tblStyle w:val="TableGrid"/>
        <w:tblW w:type="dxa" w:w="9740"/>
        <w:jc w:val="left"/>
        <w:tblLayout w:type="fixed"/>
        <w:tblLook w:firstColumn="1" w:firstRow="1" w:lastColumn="0" w:lastRow="0" w:noHBand="0" w:noVBand="1" w:val="04A0"/>
        <w:tblInd w:w="120" w:type="dxa"/>
        <w:tblBorders>
          <w:top w:val="single" w:sz="6" w:color="D9DEE5"/>
          <w:left w:val="single" w:sz="6" w:color="D9DEE5"/>
          <w:bottom w:val="single" w:sz="6" w:color="D9DEE5"/>
          <w:right w:val="single" w:sz="6" w:color="D9DEE5"/>
          <w:insideH w:val="single" w:sz="6" w:color="D9DEE5"/>
          <w:insideV w:val="single" w:sz="6" w:color="D9DEE5"/>
        </w:tblBorders>
      </w:tblPr>
      <w:tblGrid>
        <w:gridCol w:w="3000"/>
        <w:gridCol w:w="6740"/>
      </w:tblGrid>
      <w:tr>
        <w:trPr>
          <w:tblHeader w:val="true"/>
          <w:cantSplit/>
        </w:trPr>
        <w:tc>
          <w:tcPr>
            <w:tcW w:type="dxa" w:w="30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Situation</w:t>
            </w:r>
          </w:p>
        </w:tc>
        <w:tc>
          <w:tcPr>
            <w:tcW w:type="dxa" w:w="674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Règle</w:t>
            </w:r>
          </w:p>
        </w:tc>
      </w:tr>
      <w:tr>
        <w:trPr>
          <w:cantSplit/>
        </w:trPr>
        <w:tc>
          <w:tcPr>
            <w:tcW w:type="dxa" w:w="30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Budget insuffisant</w:t>
            </w:r>
          </w:p>
        </w:tc>
        <w:tc>
          <w:tcPr>
            <w:tcW w:type="dxa" w:w="67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Classement jusqu'à épuisement de l'enveloppe, puis liste d'attente ordonnée.</w:t>
            </w:r>
          </w:p>
        </w:tc>
      </w:tr>
      <w:tr>
        <w:trPr>
          <w:cantSplit/>
        </w:trPr>
        <w:tc>
          <w:tcPr>
            <w:tcW w:type="dxa" w:w="30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Ex aequo</w:t>
            </w:r>
          </w:p>
        </w:tc>
        <w:tc>
          <w:tcPr>
            <w:tcW w:type="dxa" w:w="67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Fragilité financière, puis plus faible population, puis impact mesurable.</w:t>
            </w:r>
          </w:p>
        </w:tc>
      </w:tr>
      <w:tr>
        <w:trPr>
          <w:cantSplit/>
        </w:trPr>
        <w:tc>
          <w:tcPr>
            <w:tcW w:type="dxa" w:w="30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Axe sous-doté en qualité</w:t>
            </w:r>
          </w:p>
        </w:tc>
        <w:tc>
          <w:tcPr>
            <w:tcW w:type="dxa" w:w="67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Transfert possible vers un autre axe, dans la fourchette annuelle de 20 % à 50 %.</w:t>
            </w:r>
          </w:p>
        </w:tc>
      </w:tr>
      <w:tr>
        <w:trPr>
          <w:cantSplit/>
        </w:trPr>
        <w:tc>
          <w:tcPr>
            <w:tcW w:type="dxa" w:w="30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Condition majeure manquante</w:t>
            </w:r>
          </w:p>
        </w:tc>
        <w:tc>
          <w:tcPr>
            <w:tcW w:type="dxa" w:w="67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Décision conditionnelle assortie d'une date butoir ; aucun versement avant levée.</w:t>
            </w:r>
          </w:p>
        </w:tc>
      </w:tr>
    </w:tbl>
    <w:p>
      <w:pPr>
        <w:spacing w:after="40"/>
      </w:pPr>
    </w:p>
    <w:p>
      <w:r>
        <w:br w:type="page"/>
      </w:r>
    </w:p>
    <w:p>
      <w:pPr>
        <w:pStyle w:val="Heading1"/>
        <w:keepNext/>
        <w:pageBreakBefore w:val="0"/>
        <w:pBdr>
          <w:left w:val="single" w:sz="18" w:space="8" w:color="C5A46D"/>
        </w:pBdr>
      </w:pPr>
      <w:r>
        <w:rPr>
          <w:rFonts w:ascii="Nimbus Sans" w:hAnsi="Nimbus Sans" w:eastAsia="Nimbus Sans"/>
          <w:b/>
          <w:i w:val="0"/>
          <w:color w:val="0F2747"/>
          <w:sz w:val="36"/>
        </w:rPr>
        <w:t>10. Appel à projets, décision et convention</w:t>
      </w:r>
    </w:p>
    <w:p>
      <w:pPr>
        <w:pStyle w:val="Heading2"/>
        <w:keepNext/>
      </w:pPr>
      <w:r>
        <w:rPr>
          <w:rFonts w:ascii="Nimbus Sans" w:hAnsi="Nimbus Sans" w:eastAsia="Nimbus Sans"/>
          <w:b/>
          <w:i w:val="0"/>
          <w:color w:val="2E6FA3"/>
          <w:sz w:val="26"/>
        </w:rPr>
        <w:t>10.1 Dossier simplifié</w:t>
      </w:r>
    </w:p>
    <w:p>
      <w:pPr>
        <w:pStyle w:val="ListBullet"/>
        <w:spacing w:after="40" w:line="259" w:lineRule="auto"/>
        <w:ind w:left="312" w:hanging="125"/>
      </w:pPr>
      <w:r>
        <w:rPr>
          <w:rFonts w:ascii="Nimbus Sans" w:hAnsi="Nimbus Sans" w:eastAsia="Nimbus Sans"/>
          <w:b w:val="0"/>
          <w:i w:val="0"/>
          <w:color w:val="222B35"/>
          <w:sz w:val="18"/>
        </w:rPr>
        <w:t>délibération de candidature et identification du responsable ;</w:t>
      </w:r>
    </w:p>
    <w:p>
      <w:pPr>
        <w:pStyle w:val="ListBullet"/>
        <w:spacing w:after="40" w:line="259" w:lineRule="auto"/>
        <w:ind w:left="312" w:hanging="125"/>
      </w:pPr>
      <w:r>
        <w:rPr>
          <w:rFonts w:ascii="Nimbus Sans" w:hAnsi="Nimbus Sans" w:eastAsia="Nimbus Sans"/>
          <w:b w:val="0"/>
          <w:i w:val="0"/>
          <w:color w:val="222B35"/>
          <w:sz w:val="18"/>
        </w:rPr>
        <w:t>note de quatre pages maximum : besoin, bénéficiaires, objectifs, calendrier ;</w:t>
      </w:r>
    </w:p>
    <w:p>
      <w:pPr>
        <w:pStyle w:val="ListBullet"/>
        <w:spacing w:after="40" w:line="259" w:lineRule="auto"/>
        <w:ind w:left="312" w:hanging="125"/>
      </w:pPr>
      <w:r>
        <w:rPr>
          <w:rFonts w:ascii="Nimbus Sans" w:hAnsi="Nimbus Sans" w:eastAsia="Nimbus Sans"/>
          <w:b w:val="0"/>
          <w:i w:val="0"/>
          <w:color w:val="222B35"/>
          <w:sz w:val="18"/>
        </w:rPr>
        <w:t>budget détaillé et plan de financement ;</w:t>
      </w:r>
    </w:p>
    <w:p>
      <w:pPr>
        <w:pStyle w:val="ListBullet"/>
        <w:spacing w:after="40" w:line="259" w:lineRule="auto"/>
        <w:ind w:left="312" w:hanging="125"/>
      </w:pPr>
      <w:r>
        <w:rPr>
          <w:rFonts w:ascii="Nimbus Sans" w:hAnsi="Nimbus Sans" w:eastAsia="Nimbus Sans"/>
          <w:b w:val="0"/>
          <w:i w:val="0"/>
          <w:color w:val="222B35"/>
          <w:sz w:val="18"/>
        </w:rPr>
        <w:t>données financières communales utiles et autorisation de vérification ;</w:t>
      </w:r>
    </w:p>
    <w:p>
      <w:pPr>
        <w:pStyle w:val="ListBullet"/>
        <w:spacing w:after="40" w:line="259" w:lineRule="auto"/>
        <w:ind w:left="312" w:hanging="125"/>
      </w:pPr>
      <w:r>
        <w:rPr>
          <w:rFonts w:ascii="Nimbus Sans" w:hAnsi="Nimbus Sans" w:eastAsia="Nimbus Sans"/>
          <w:b w:val="0"/>
          <w:i w:val="0"/>
          <w:color w:val="222B35"/>
          <w:sz w:val="18"/>
        </w:rPr>
        <w:t>titre de propriété, convention d'occupation ou accord du propriétaire ;</w:t>
      </w:r>
    </w:p>
    <w:p>
      <w:pPr>
        <w:pStyle w:val="ListBullet"/>
        <w:spacing w:after="40" w:line="259" w:lineRule="auto"/>
        <w:ind w:left="312" w:hanging="125"/>
      </w:pPr>
      <w:r>
        <w:rPr>
          <w:rFonts w:ascii="Nimbus Sans" w:hAnsi="Nimbus Sans" w:eastAsia="Nimbus Sans"/>
          <w:b w:val="0"/>
          <w:i w:val="0"/>
          <w:color w:val="222B35"/>
          <w:sz w:val="18"/>
        </w:rPr>
        <w:t>devis ou estimation indépendante ;</w:t>
      </w:r>
    </w:p>
    <w:p>
      <w:pPr>
        <w:pStyle w:val="ListBullet"/>
        <w:spacing w:after="40" w:line="259" w:lineRule="auto"/>
        <w:ind w:left="312" w:hanging="125"/>
      </w:pPr>
      <w:r>
        <w:rPr>
          <w:rFonts w:ascii="Nimbus Sans" w:hAnsi="Nimbus Sans" w:eastAsia="Nimbus Sans"/>
          <w:b w:val="0"/>
          <w:i w:val="0"/>
          <w:color w:val="222B35"/>
          <w:sz w:val="18"/>
        </w:rPr>
        <w:t>déclarations d'intérêts et d'aides déjà sollicitées ;</w:t>
      </w:r>
    </w:p>
    <w:p>
      <w:pPr>
        <w:pStyle w:val="ListBullet"/>
        <w:spacing w:after="40" w:line="259" w:lineRule="auto"/>
        <w:ind w:left="312" w:hanging="125"/>
      </w:pPr>
      <w:r>
        <w:rPr>
          <w:rFonts w:ascii="Nimbus Sans" w:hAnsi="Nimbus Sans" w:eastAsia="Nimbus Sans"/>
          <w:b w:val="0"/>
          <w:i w:val="0"/>
          <w:color w:val="222B35"/>
          <w:sz w:val="18"/>
        </w:rPr>
        <w:t>indicateurs de résultat et engagements de communication sobres.</w:t>
      </w:r>
    </w:p>
    <w:p>
      <w:pPr>
        <w:pStyle w:val="Heading2"/>
        <w:keepNext/>
      </w:pPr>
      <w:r>
        <w:rPr>
          <w:rFonts w:ascii="Nimbus Sans" w:hAnsi="Nimbus Sans" w:eastAsia="Nimbus Sans"/>
          <w:b/>
          <w:i w:val="0"/>
          <w:color w:val="2E6FA3"/>
          <w:sz w:val="26"/>
        </w:rPr>
        <w:t>10.2 Instruction en huit étapes</w:t>
      </w:r>
    </w:p>
    <w:p>
      <w:pPr>
        <w:pStyle w:val="ListNumber"/>
        <w:spacing w:after="60"/>
        <w:ind w:left="369" w:hanging="159"/>
      </w:pPr>
      <w:r>
        <w:rPr>
          <w:rFonts w:ascii="Nimbus Sans" w:hAnsi="Nimbus Sans" w:eastAsia="Nimbus Sans"/>
          <w:b w:val="0"/>
          <w:i w:val="0"/>
          <w:color w:val="222B35"/>
          <w:sz w:val="18"/>
        </w:rPr>
        <w:t xml:space="preserve"> Ouverture et webinaire d'information identique pour tous.</w:t>
      </w:r>
    </w:p>
    <w:p>
      <w:pPr>
        <w:pStyle w:val="ListNumber"/>
        <w:spacing w:after="60"/>
        <w:ind w:left="369" w:hanging="159"/>
      </w:pPr>
      <w:r>
        <w:rPr>
          <w:rFonts w:ascii="Nimbus Sans" w:hAnsi="Nimbus Sans" w:eastAsia="Nimbus Sans"/>
          <w:b w:val="0"/>
          <w:i w:val="0"/>
          <w:color w:val="222B35"/>
          <w:sz w:val="18"/>
        </w:rPr>
        <w:t xml:space="preserve"> Contrôle administratif de recevabilité sans notation.</w:t>
      </w:r>
    </w:p>
    <w:p>
      <w:pPr>
        <w:pStyle w:val="ListNumber"/>
        <w:spacing w:after="60"/>
        <w:ind w:left="369" w:hanging="159"/>
      </w:pPr>
      <w:r>
        <w:rPr>
          <w:rFonts w:ascii="Nimbus Sans" w:hAnsi="Nimbus Sans" w:eastAsia="Nimbus Sans"/>
          <w:b w:val="0"/>
          <w:i w:val="0"/>
          <w:color w:val="222B35"/>
          <w:sz w:val="18"/>
        </w:rPr>
        <w:t xml:space="preserve"> Vérification des conflits et désignation de deux rapporteurs indépendants.</w:t>
      </w:r>
    </w:p>
    <w:p>
      <w:pPr>
        <w:pStyle w:val="ListNumber"/>
        <w:spacing w:after="60"/>
        <w:ind w:left="369" w:hanging="159"/>
      </w:pPr>
      <w:r>
        <w:rPr>
          <w:rFonts w:ascii="Nimbus Sans" w:hAnsi="Nimbus Sans" w:eastAsia="Nimbus Sans"/>
          <w:b w:val="0"/>
          <w:i w:val="0"/>
          <w:color w:val="222B35"/>
          <w:sz w:val="18"/>
        </w:rPr>
        <w:t xml:space="preserve"> Notation contradictoire selon le barème publié.</w:t>
      </w:r>
    </w:p>
    <w:p>
      <w:pPr>
        <w:pStyle w:val="ListNumber"/>
        <w:spacing w:after="60"/>
        <w:ind w:left="369" w:hanging="159"/>
      </w:pPr>
      <w:r>
        <w:rPr>
          <w:rFonts w:ascii="Nimbus Sans" w:hAnsi="Nimbus Sans" w:eastAsia="Nimbus Sans"/>
          <w:b w:val="0"/>
          <w:i w:val="0"/>
          <w:color w:val="222B35"/>
          <w:sz w:val="18"/>
        </w:rPr>
        <w:t xml:space="preserve"> Audition courte uniquement si elle est proposée à tous les dossiers comparables.</w:t>
      </w:r>
    </w:p>
    <w:p>
      <w:pPr>
        <w:pStyle w:val="ListNumber"/>
        <w:spacing w:after="60"/>
        <w:ind w:left="369" w:hanging="159"/>
      </w:pPr>
      <w:r>
        <w:rPr>
          <w:rFonts w:ascii="Nimbus Sans" w:hAnsi="Nimbus Sans" w:eastAsia="Nimbus Sans"/>
          <w:b w:val="0"/>
          <w:i w:val="0"/>
          <w:color w:val="222B35"/>
          <w:sz w:val="18"/>
        </w:rPr>
        <w:t xml:space="preserve"> Classement par le comité de sélection et avis éthique.</w:t>
      </w:r>
    </w:p>
    <w:p>
      <w:pPr>
        <w:pStyle w:val="ListNumber"/>
        <w:spacing w:after="60"/>
        <w:ind w:left="369" w:hanging="159"/>
      </w:pPr>
      <w:r>
        <w:rPr>
          <w:rFonts w:ascii="Nimbus Sans" w:hAnsi="Nimbus Sans" w:eastAsia="Nimbus Sans"/>
          <w:b w:val="0"/>
          <w:i w:val="0"/>
          <w:color w:val="222B35"/>
          <w:sz w:val="18"/>
        </w:rPr>
        <w:t xml:space="preserve"> Décision du conseil ; motivation de tout écart au classement.</w:t>
      </w:r>
    </w:p>
    <w:p>
      <w:pPr>
        <w:pStyle w:val="ListNumber"/>
        <w:spacing w:after="60"/>
        <w:ind w:left="369" w:hanging="159"/>
      </w:pPr>
      <w:r>
        <w:rPr>
          <w:rFonts w:ascii="Nimbus Sans" w:hAnsi="Nimbus Sans" w:eastAsia="Nimbus Sans"/>
          <w:b w:val="0"/>
          <w:i w:val="0"/>
          <w:color w:val="222B35"/>
          <w:sz w:val="18"/>
        </w:rPr>
        <w:t xml:space="preserve"> Notification, publication et délai de dix jours ouvrés pour signaler une erreur de procédure.</w:t>
      </w:r>
    </w:p>
    <w:p>
      <w:pPr>
        <w:pStyle w:val="Heading2"/>
        <w:keepNext/>
      </w:pPr>
      <w:r>
        <w:rPr>
          <w:rFonts w:ascii="Nimbus Sans" w:hAnsi="Nimbus Sans" w:eastAsia="Nimbus Sans"/>
          <w:b/>
          <w:i w:val="0"/>
          <w:color w:val="2E6FA3"/>
          <w:sz w:val="26"/>
        </w:rPr>
        <w:t>10.3 Convention d'attribution</w:t>
      </w:r>
    </w:p>
    <w:p>
      <w:pPr>
        <w:keepLines w:val="0"/>
        <w:spacing w:before="0" w:after="80" w:line="269" w:lineRule="auto"/>
        <w:jc w:val="left"/>
      </w:pPr>
      <w:r>
        <w:rPr>
          <w:rFonts w:ascii="Nimbus Sans" w:hAnsi="Nimbus Sans" w:eastAsia="Nimbus Sans"/>
          <w:b w:val="0"/>
          <w:i w:val="0"/>
          <w:color w:val="222B35"/>
          <w:sz w:val="19"/>
        </w:rPr>
        <w:t>Aucun versement n'intervient avant signature. La convention précise au minimum : objet, budget éligible, montant, échéancier, compte bancaire public, règles de commande publique, livrables, indicateurs, communication, contrôles, propriété intellectuelle, sort des économies, remboursement et résiliation.</w:t>
      </w:r>
    </w:p>
    <w:p>
      <w:pPr>
        <w:pStyle w:val="Heading2"/>
        <w:keepNext/>
      </w:pPr>
      <w:r>
        <w:rPr>
          <w:rFonts w:ascii="Nimbus Sans" w:hAnsi="Nimbus Sans" w:eastAsia="Nimbus Sans"/>
          <w:b/>
          <w:i w:val="0"/>
          <w:color w:val="2E6FA3"/>
          <w:sz w:val="26"/>
        </w:rPr>
        <w:t>10.4 Échéancier type</w:t>
      </w:r>
    </w:p>
    <w:tbl>
      <w:tblPr>
        <w:tblStyle w:val="TableGrid"/>
        <w:tblW w:type="dxa" w:w="9740"/>
        <w:jc w:val="left"/>
        <w:tblLayout w:type="fixed"/>
        <w:tblLook w:firstColumn="1" w:firstRow="1" w:lastColumn="0" w:lastRow="0" w:noHBand="0" w:noVBand="1" w:val="04A0"/>
        <w:tblInd w:w="120" w:type="dxa"/>
        <w:tblBorders>
          <w:top w:val="single" w:sz="6" w:color="D9DEE5"/>
          <w:left w:val="single" w:sz="6" w:color="D9DEE5"/>
          <w:bottom w:val="single" w:sz="6" w:color="D9DEE5"/>
          <w:right w:val="single" w:sz="6" w:color="D9DEE5"/>
          <w:insideH w:val="single" w:sz="6" w:color="D9DEE5"/>
          <w:insideV w:val="single" w:sz="6" w:color="D9DEE5"/>
        </w:tblBorders>
      </w:tblPr>
      <w:tblGrid>
        <w:gridCol w:w="1900"/>
        <w:gridCol w:w="1600"/>
        <w:gridCol w:w="6240"/>
      </w:tblGrid>
      <w:tr>
        <w:trPr>
          <w:tblHeader w:val="true"/>
          <w:cantSplit/>
        </w:trPr>
        <w:tc>
          <w:tcPr>
            <w:tcW w:type="dxa" w:w="19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Tranche</w:t>
            </w:r>
          </w:p>
        </w:tc>
        <w:tc>
          <w:tcPr>
            <w:tcW w:type="dxa" w:w="16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Pourcentage</w:t>
            </w:r>
          </w:p>
        </w:tc>
        <w:tc>
          <w:tcPr>
            <w:tcW w:type="dxa" w:w="624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Condition</w:t>
            </w:r>
          </w:p>
        </w:tc>
      </w:tr>
      <w:tr>
        <w:trPr>
          <w:cantSplit/>
        </w:trPr>
        <w:tc>
          <w:tcPr>
            <w:tcW w:type="dxa" w:w="19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Avance</w:t>
            </w:r>
          </w:p>
        </w:tc>
        <w:tc>
          <w:tcPr>
            <w:tcW w:type="dxa" w:w="16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20 %</w:t>
            </w:r>
          </w:p>
        </w:tc>
        <w:tc>
          <w:tcPr>
            <w:tcW w:type="dxa" w:w="62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Convention signée, délibération exécutoire, coordonnées bancaires vérifiées.</w:t>
            </w:r>
          </w:p>
        </w:tc>
      </w:tr>
      <w:tr>
        <w:trPr>
          <w:cantSplit/>
        </w:trPr>
        <w:tc>
          <w:tcPr>
            <w:tcW w:type="dxa" w:w="19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Démarrage</w:t>
            </w:r>
          </w:p>
        </w:tc>
        <w:tc>
          <w:tcPr>
            <w:tcW w:type="dxa" w:w="16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40 %</w:t>
            </w:r>
          </w:p>
        </w:tc>
        <w:tc>
          <w:tcPr>
            <w:tcW w:type="dxa" w:w="62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Ordre de service, marché ou contrat conclu ; plan de financement actualisé.</w:t>
            </w:r>
          </w:p>
        </w:tc>
      </w:tr>
      <w:tr>
        <w:trPr>
          <w:cantSplit/>
        </w:trPr>
        <w:tc>
          <w:tcPr>
            <w:tcW w:type="dxa" w:w="19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Étape</w:t>
            </w:r>
          </w:p>
        </w:tc>
        <w:tc>
          <w:tcPr>
            <w:tcW w:type="dxa" w:w="16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30 %</w:t>
            </w:r>
          </w:p>
        </w:tc>
        <w:tc>
          <w:tcPr>
            <w:tcW w:type="dxa" w:w="62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Livrable intermédiaire et dépenses justifiées à hauteur des tranches antérieures.</w:t>
            </w:r>
          </w:p>
        </w:tc>
      </w:tr>
      <w:tr>
        <w:trPr>
          <w:cantSplit/>
        </w:trPr>
        <w:tc>
          <w:tcPr>
            <w:tcW w:type="dxa" w:w="19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Solde</w:t>
            </w:r>
          </w:p>
        </w:tc>
        <w:tc>
          <w:tcPr>
            <w:tcW w:type="dxa" w:w="16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10 %</w:t>
            </w:r>
          </w:p>
        </w:tc>
        <w:tc>
          <w:tcPr>
            <w:tcW w:type="dxa" w:w="62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Rapport final, attestation d'affectation, bilan financier et indicateurs.</w:t>
            </w:r>
          </w:p>
        </w:tc>
      </w:tr>
    </w:tbl>
    <w:p>
      <w:pPr>
        <w:spacing w:after="40"/>
      </w:pPr>
    </w:p>
    <w:p>
      <w:pPr>
        <w:pStyle w:val="Heading2"/>
        <w:keepNext/>
      </w:pPr>
      <w:r>
        <w:rPr>
          <w:rFonts w:ascii="Nimbus Sans" w:hAnsi="Nimbus Sans" w:eastAsia="Nimbus Sans"/>
          <w:b/>
          <w:i w:val="0"/>
          <w:color w:val="2E6FA3"/>
          <w:sz w:val="26"/>
        </w:rPr>
        <w:t>10.5 Suspension et remboursement</w:t>
      </w:r>
    </w:p>
    <w:p>
      <w:pPr>
        <w:pStyle w:val="ListBullet"/>
        <w:spacing w:after="40" w:line="259" w:lineRule="auto"/>
        <w:ind w:left="312" w:hanging="125"/>
      </w:pPr>
      <w:r>
        <w:rPr>
          <w:rFonts w:ascii="Nimbus Sans" w:hAnsi="Nimbus Sans" w:eastAsia="Nimbus Sans"/>
          <w:b w:val="0"/>
          <w:i w:val="0"/>
          <w:color w:val="222B35"/>
          <w:sz w:val="18"/>
        </w:rPr>
        <w:t>fausse déclaration, conflit dissimulé ou dépense non éligible ;</w:t>
      </w:r>
    </w:p>
    <w:p>
      <w:pPr>
        <w:pStyle w:val="ListBullet"/>
        <w:spacing w:after="40" w:line="259" w:lineRule="auto"/>
        <w:ind w:left="312" w:hanging="125"/>
      </w:pPr>
      <w:r>
        <w:rPr>
          <w:rFonts w:ascii="Nimbus Sans" w:hAnsi="Nimbus Sans" w:eastAsia="Nimbus Sans"/>
          <w:b w:val="0"/>
          <w:i w:val="0"/>
          <w:color w:val="222B35"/>
          <w:sz w:val="18"/>
        </w:rPr>
        <w:t>abandon ou changement substantiel non autorisé ;</w:t>
      </w:r>
    </w:p>
    <w:p>
      <w:pPr>
        <w:pStyle w:val="ListBullet"/>
        <w:spacing w:after="40" w:line="259" w:lineRule="auto"/>
        <w:ind w:left="312" w:hanging="125"/>
      </w:pPr>
      <w:r>
        <w:rPr>
          <w:rFonts w:ascii="Nimbus Sans" w:hAnsi="Nimbus Sans" w:eastAsia="Nimbus Sans"/>
          <w:b w:val="0"/>
          <w:i w:val="0"/>
          <w:color w:val="222B35"/>
          <w:sz w:val="18"/>
        </w:rPr>
        <w:t>non-respect de la commande publique ou des autorisations ;</w:t>
      </w:r>
    </w:p>
    <w:p>
      <w:pPr>
        <w:pStyle w:val="ListBullet"/>
        <w:spacing w:after="40" w:line="259" w:lineRule="auto"/>
        <w:ind w:left="312" w:hanging="125"/>
      </w:pPr>
      <w:r>
        <w:rPr>
          <w:rFonts w:ascii="Nimbus Sans" w:hAnsi="Nimbus Sans" w:eastAsia="Nimbus Sans"/>
          <w:b w:val="0"/>
          <w:i w:val="0"/>
          <w:color w:val="222B35"/>
          <w:sz w:val="18"/>
        </w:rPr>
        <w:t>surfinancement, économie non réaffectée ou utilisation privée ;</w:t>
      </w:r>
    </w:p>
    <w:p>
      <w:pPr>
        <w:pStyle w:val="ListBullet"/>
        <w:spacing w:after="40" w:line="259" w:lineRule="auto"/>
        <w:ind w:left="312" w:hanging="125"/>
      </w:pPr>
      <w:r>
        <w:rPr>
          <w:rFonts w:ascii="Nimbus Sans" w:hAnsi="Nimbus Sans" w:eastAsia="Nimbus Sans"/>
          <w:b w:val="0"/>
          <w:i w:val="0"/>
          <w:color w:val="222B35"/>
          <w:sz w:val="18"/>
        </w:rPr>
        <w:t>refus de contrôle ou absence de justificatifs.</w:t>
      </w:r>
    </w:p>
    <w:p>
      <w:pPr>
        <w:keepLines w:val="0"/>
        <w:spacing w:before="0" w:after="80" w:line="269" w:lineRule="auto"/>
        <w:jc w:val="left"/>
      </w:pPr>
      <w:r>
        <w:rPr>
          <w:rFonts w:ascii="Nimbus Sans" w:hAnsi="Nimbus Sans" w:eastAsia="Nimbus Sans"/>
          <w:b w:val="0"/>
          <w:i w:val="0"/>
          <w:color w:val="222B35"/>
          <w:sz w:val="19"/>
        </w:rPr>
        <w:t>Le remboursement est proportionné aux sommes non utilisées ou irrégulières, sans préjudice d'une résiliation complète en cas de fraude.</w:t>
      </w:r>
    </w:p>
    <w:p>
      <w:r>
        <w:br w:type="page"/>
      </w:r>
    </w:p>
    <w:p>
      <w:pPr>
        <w:pStyle w:val="Heading1"/>
        <w:keepNext/>
        <w:pageBreakBefore w:val="0"/>
        <w:pBdr>
          <w:left w:val="single" w:sz="18" w:space="8" w:color="C5A46D"/>
        </w:pBdr>
      </w:pPr>
      <w:r>
        <w:rPr>
          <w:rFonts w:ascii="Nimbus Sans" w:hAnsi="Nimbus Sans" w:eastAsia="Nimbus Sans"/>
          <w:b/>
          <w:i w:val="0"/>
          <w:color w:val="0F2747"/>
          <w:sz w:val="36"/>
        </w:rPr>
        <w:t>11. Trois exemples de projets éligibles</w:t>
      </w:r>
    </w:p>
    <w:p>
      <w:pPr>
        <w:pStyle w:val="Heading2"/>
        <w:keepNext/>
      </w:pPr>
      <w:r>
        <w:rPr>
          <w:rFonts w:ascii="Nimbus Sans" w:hAnsi="Nimbus Sans" w:eastAsia="Nimbus Sans"/>
          <w:b/>
          <w:i w:val="0"/>
          <w:color w:val="2E6FA3"/>
          <w:sz w:val="26"/>
        </w:rPr>
        <w:t>11.1 Architecture - Maison communale partagée et inclusive</w:t>
      </w:r>
    </w:p>
    <w:p>
      <w:pPr>
        <w:spacing w:before="100" w:after="140" w:line="264" w:lineRule="auto"/>
        <w:ind w:left="142" w:right="142"/>
        <w:shd w:fill="EAF1F7" w:val="clear"/>
        <w:pBdr>
          <w:left w:val="single" w:sz="20" w:space="6" w:color="2E6FA3"/>
        </w:pBdr>
      </w:pPr>
      <w:r>
        <w:rPr>
          <w:rFonts w:ascii="Nimbus Sans" w:hAnsi="Nimbus Sans" w:eastAsia="Nimbus Sans"/>
          <w:b/>
          <w:i w:val="0"/>
          <w:color w:val="2E6FA3"/>
          <w:sz w:val="18"/>
        </w:rPr>
        <w:t xml:space="preserve">COMMUNE FICTIVE : 1 600 HABITANTS  </w:t>
      </w:r>
      <w:r>
        <w:rPr>
          <w:rFonts w:ascii="Nimbus Sans" w:hAnsi="Nimbus Sans" w:eastAsia="Nimbus Sans"/>
          <w:b w:val="0"/>
          <w:i w:val="0"/>
          <w:color w:val="222B35"/>
          <w:sz w:val="18"/>
        </w:rPr>
        <w:t>Transformer une ancienne école vacante en lieu intergénérationnel comprenant deux logements inclusifs, une salle commune et un espace d'accompagnement associatif.</w:t>
      </w:r>
    </w:p>
    <w:tbl>
      <w:tblPr>
        <w:tblStyle w:val="TableGrid"/>
        <w:tblW w:type="dxa" w:w="9740"/>
        <w:jc w:val="left"/>
        <w:tblLayout w:type="fixed"/>
        <w:tblLook w:firstColumn="1" w:firstRow="1" w:lastColumn="0" w:lastRow="0" w:noHBand="0" w:noVBand="1" w:val="04A0"/>
        <w:tblInd w:w="120" w:type="dxa"/>
        <w:tblBorders>
          <w:top w:val="single" w:sz="6" w:color="D9DEE5"/>
          <w:left w:val="single" w:sz="6" w:color="D9DEE5"/>
          <w:bottom w:val="single" w:sz="6" w:color="D9DEE5"/>
          <w:right w:val="single" w:sz="6" w:color="D9DEE5"/>
          <w:insideH w:val="single" w:sz="6" w:color="D9DEE5"/>
          <w:insideV w:val="single" w:sz="6" w:color="D9DEE5"/>
        </w:tblBorders>
      </w:tblPr>
      <w:tblGrid>
        <w:gridCol w:w="2200"/>
        <w:gridCol w:w="7540"/>
      </w:tblGrid>
      <w:tr>
        <w:trPr>
          <w:tblHeader w:val="true"/>
          <w:cantSplit/>
        </w:trPr>
        <w:tc>
          <w:tcPr>
            <w:tcW w:type="dxa" w:w="22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Élément</w:t>
            </w:r>
          </w:p>
        </w:tc>
        <w:tc>
          <w:tcPr>
            <w:tcW w:type="dxa" w:w="754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Exemple</w:t>
            </w:r>
          </w:p>
        </w:tc>
      </w:tr>
      <w:tr>
        <w:trPr>
          <w:cantSplit/>
        </w:trPr>
        <w:tc>
          <w:tcPr>
            <w:tcW w:type="dxa" w:w="22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Dépenses</w:t>
            </w:r>
          </w:p>
        </w:tc>
        <w:tc>
          <w:tcPr>
            <w:tcW w:type="dxa" w:w="75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Diagnostic structure et accessibilité, programmation, esquisse, concertation et analyse du coût global.</w:t>
            </w:r>
          </w:p>
        </w:tc>
      </w:tr>
      <w:tr>
        <w:trPr>
          <w:cantSplit/>
        </w:trPr>
        <w:tc>
          <w:tcPr>
            <w:tcW w:type="dxa" w:w="22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Budget</w:t>
            </w:r>
          </w:p>
        </w:tc>
        <w:tc>
          <w:tcPr>
            <w:tcW w:type="dxa" w:w="75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45 000 € HT d'études ; aide du fonds 30 000 € ; commune et partenaires 15 000 €.</w:t>
            </w:r>
          </w:p>
        </w:tc>
      </w:tr>
      <w:tr>
        <w:trPr>
          <w:cantSplit/>
        </w:trPr>
        <w:tc>
          <w:tcPr>
            <w:tcW w:type="dxa" w:w="22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Livrables</w:t>
            </w:r>
          </w:p>
        </w:tc>
        <w:tc>
          <w:tcPr>
            <w:tcW w:type="dxa" w:w="75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Programme validé, scénario architectural, estimation, plan de financement et dossier de consultation.</w:t>
            </w:r>
          </w:p>
        </w:tc>
      </w:tr>
      <w:tr>
        <w:trPr>
          <w:cantSplit/>
        </w:trPr>
        <w:tc>
          <w:tcPr>
            <w:tcW w:type="dxa" w:w="22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Impact</w:t>
            </w:r>
          </w:p>
        </w:tc>
        <w:tc>
          <w:tcPr>
            <w:tcW w:type="dxa" w:w="75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Remise en usage d'un bâtiment vacant ; solution d'habitat partagé ; accès des habitants au lieu commun.</w:t>
            </w:r>
          </w:p>
        </w:tc>
      </w:tr>
      <w:tr>
        <w:trPr>
          <w:cantSplit/>
        </w:trPr>
        <w:tc>
          <w:tcPr>
            <w:tcW w:type="dxa" w:w="22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Garde-fou</w:t>
            </w:r>
          </w:p>
        </w:tc>
        <w:tc>
          <w:tcPr>
            <w:tcW w:type="dxa" w:w="75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Le fonds ne choisit pas le maître d'œuvre et ne finance aucune prestation de PLU.immo.</w:t>
            </w:r>
          </w:p>
        </w:tc>
      </w:tr>
    </w:tbl>
    <w:p>
      <w:pPr>
        <w:spacing w:after="40"/>
      </w:pPr>
    </w:p>
    <w:p>
      <w:pPr>
        <w:pStyle w:val="Heading2"/>
        <w:keepNext/>
      </w:pPr>
      <w:r>
        <w:rPr>
          <w:rFonts w:ascii="Nimbus Sans" w:hAnsi="Nimbus Sans" w:eastAsia="Nimbus Sans"/>
          <w:b/>
          <w:i w:val="0"/>
          <w:color w:val="2E6FA3"/>
          <w:sz w:val="26"/>
        </w:rPr>
        <w:t>11.2 Culture - Résidence artistique et mémoire du territoire</w:t>
      </w:r>
    </w:p>
    <w:p>
      <w:pPr>
        <w:spacing w:before="100" w:after="140" w:line="264" w:lineRule="auto"/>
        <w:ind w:left="142" w:right="142"/>
        <w:shd w:fill="F7F1E7" w:val="clear"/>
        <w:pBdr>
          <w:left w:val="single" w:sz="20" w:space="6" w:color="C5A46D"/>
        </w:pBdr>
      </w:pPr>
      <w:r>
        <w:rPr>
          <w:rFonts w:ascii="Nimbus Sans" w:hAnsi="Nimbus Sans" w:eastAsia="Nimbus Sans"/>
          <w:b/>
          <w:i w:val="0"/>
          <w:color w:val="C5A46D"/>
          <w:sz w:val="18"/>
        </w:rPr>
        <w:t xml:space="preserve">COMMUNE FICTIVE : 3 800 HABITANTS  </w:t>
      </w:r>
      <w:r>
        <w:rPr>
          <w:rFonts w:ascii="Nimbus Sans" w:hAnsi="Nimbus Sans" w:eastAsia="Nimbus Sans"/>
          <w:b w:val="0"/>
          <w:i w:val="0"/>
          <w:color w:val="222B35"/>
          <w:sz w:val="18"/>
        </w:rPr>
        <w:t>Accueillir pendant quatre mois une équipe artistique qui collecte les récits d'habitants, crée une œuvre sonore et organise des ateliers avec l'école et l'EHPAD.</w:t>
      </w:r>
    </w:p>
    <w:tbl>
      <w:tblPr>
        <w:tblStyle w:val="TableGrid"/>
        <w:tblW w:type="dxa" w:w="9740"/>
        <w:jc w:val="left"/>
        <w:tblLayout w:type="fixed"/>
        <w:tblLook w:firstColumn="1" w:firstRow="1" w:lastColumn="0" w:lastRow="0" w:noHBand="0" w:noVBand="1" w:val="04A0"/>
        <w:tblInd w:w="120" w:type="dxa"/>
        <w:tblBorders>
          <w:top w:val="single" w:sz="6" w:color="D9DEE5"/>
          <w:left w:val="single" w:sz="6" w:color="D9DEE5"/>
          <w:bottom w:val="single" w:sz="6" w:color="D9DEE5"/>
          <w:right w:val="single" w:sz="6" w:color="D9DEE5"/>
          <w:insideH w:val="single" w:sz="6" w:color="D9DEE5"/>
          <w:insideV w:val="single" w:sz="6" w:color="D9DEE5"/>
        </w:tblBorders>
      </w:tblPr>
      <w:tblGrid>
        <w:gridCol w:w="2200"/>
        <w:gridCol w:w="7540"/>
      </w:tblGrid>
      <w:tr>
        <w:trPr>
          <w:tblHeader w:val="true"/>
          <w:cantSplit/>
        </w:trPr>
        <w:tc>
          <w:tcPr>
            <w:tcW w:type="dxa" w:w="22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Élément</w:t>
            </w:r>
          </w:p>
        </w:tc>
        <w:tc>
          <w:tcPr>
            <w:tcW w:type="dxa" w:w="754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Exemple</w:t>
            </w:r>
          </w:p>
        </w:tc>
      </w:tr>
      <w:tr>
        <w:trPr>
          <w:cantSplit/>
        </w:trPr>
        <w:tc>
          <w:tcPr>
            <w:tcW w:type="dxa" w:w="22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Dépenses</w:t>
            </w:r>
          </w:p>
        </w:tc>
        <w:tc>
          <w:tcPr>
            <w:tcW w:type="dxa" w:w="75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Rémunération artistique, médiation, droits, matériel léger, accessibilité et restitution itinérante.</w:t>
            </w:r>
          </w:p>
        </w:tc>
      </w:tr>
      <w:tr>
        <w:trPr>
          <w:cantSplit/>
        </w:trPr>
        <w:tc>
          <w:tcPr>
            <w:tcW w:type="dxa" w:w="22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Budget</w:t>
            </w:r>
          </w:p>
        </w:tc>
        <w:tc>
          <w:tcPr>
            <w:tcW w:type="dxa" w:w="75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40 000 € TTC ; aide du fonds 28 000 € ; DRAC/commune/association 12 000 €.</w:t>
            </w:r>
          </w:p>
        </w:tc>
      </w:tr>
      <w:tr>
        <w:trPr>
          <w:cantSplit/>
        </w:trPr>
        <w:tc>
          <w:tcPr>
            <w:tcW w:type="dxa" w:w="22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Livrables</w:t>
            </w:r>
          </w:p>
        </w:tc>
        <w:tc>
          <w:tcPr>
            <w:tcW w:type="dxa" w:w="75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Œuvre, archives documentées avec autorisations, six ateliers et deux restitutions gratuites.</w:t>
            </w:r>
          </w:p>
        </w:tc>
      </w:tr>
      <w:tr>
        <w:trPr>
          <w:cantSplit/>
        </w:trPr>
        <w:tc>
          <w:tcPr>
            <w:tcW w:type="dxa" w:w="22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Impact</w:t>
            </w:r>
          </w:p>
        </w:tc>
        <w:tc>
          <w:tcPr>
            <w:tcW w:type="dxa" w:w="75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150 participants directs ; création accessible en ligne et dépôt aux archives locales.</w:t>
            </w:r>
          </w:p>
        </w:tc>
      </w:tr>
      <w:tr>
        <w:trPr>
          <w:cantSplit/>
        </w:trPr>
        <w:tc>
          <w:tcPr>
            <w:tcW w:type="dxa" w:w="22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Garde-fou</w:t>
            </w:r>
          </w:p>
        </w:tc>
        <w:tc>
          <w:tcPr>
            <w:tcW w:type="dxa" w:w="75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Droits d'auteur préservés ; consentement des témoins ; gratuité d'accès pour les habitants.</w:t>
            </w:r>
          </w:p>
        </w:tc>
      </w:tr>
    </w:tbl>
    <w:p>
      <w:pPr>
        <w:spacing w:after="40"/>
      </w:pPr>
    </w:p>
    <w:p>
      <w:pPr>
        <w:pStyle w:val="Heading2"/>
        <w:keepNext/>
      </w:pPr>
      <w:r>
        <w:rPr>
          <w:rFonts w:ascii="Nimbus Sans" w:hAnsi="Nimbus Sans" w:eastAsia="Nimbus Sans"/>
          <w:b/>
          <w:i w:val="0"/>
          <w:color w:val="2E6FA3"/>
          <w:sz w:val="26"/>
        </w:rPr>
        <w:t>11.3 Patrimoine - Sauvegarde d'un lavoir et de ses savoir-faire</w:t>
      </w:r>
    </w:p>
    <w:p>
      <w:pPr>
        <w:spacing w:before="100" w:after="140" w:line="264" w:lineRule="auto"/>
        <w:ind w:left="142" w:right="142"/>
        <w:shd w:fill="EAF5F0" w:val="clear"/>
        <w:pBdr>
          <w:left w:val="single" w:sz="20" w:space="6" w:color="2E765E"/>
        </w:pBdr>
      </w:pPr>
      <w:r>
        <w:rPr>
          <w:rFonts w:ascii="Nimbus Sans" w:hAnsi="Nimbus Sans" w:eastAsia="Nimbus Sans"/>
          <w:b/>
          <w:i w:val="0"/>
          <w:color w:val="2E765E"/>
          <w:sz w:val="18"/>
        </w:rPr>
        <w:t xml:space="preserve">COMMUNE FICTIVE : 920 HABITANTS  </w:t>
      </w:r>
      <w:r>
        <w:rPr>
          <w:rFonts w:ascii="Nimbus Sans" w:hAnsi="Nimbus Sans" w:eastAsia="Nimbus Sans"/>
          <w:b w:val="0"/>
          <w:i w:val="0"/>
          <w:color w:val="222B35"/>
          <w:sz w:val="18"/>
        </w:rPr>
        <w:t>Diagnostiquer puis sécuriser un lavoir communal menacé, restaurer les maçonneries les plus fragiles et transmettre les techniques de pierre et de chaux.</w:t>
      </w:r>
    </w:p>
    <w:tbl>
      <w:tblPr>
        <w:tblStyle w:val="TableGrid"/>
        <w:tblW w:type="dxa" w:w="9740"/>
        <w:jc w:val="left"/>
        <w:tblLayout w:type="fixed"/>
        <w:tblLook w:firstColumn="1" w:firstRow="1" w:lastColumn="0" w:lastRow="0" w:noHBand="0" w:noVBand="1" w:val="04A0"/>
        <w:tblInd w:w="120" w:type="dxa"/>
        <w:tblBorders>
          <w:top w:val="single" w:sz="6" w:color="D9DEE5"/>
          <w:left w:val="single" w:sz="6" w:color="D9DEE5"/>
          <w:bottom w:val="single" w:sz="6" w:color="D9DEE5"/>
          <w:right w:val="single" w:sz="6" w:color="D9DEE5"/>
          <w:insideH w:val="single" w:sz="6" w:color="D9DEE5"/>
          <w:insideV w:val="single" w:sz="6" w:color="D9DEE5"/>
        </w:tblBorders>
      </w:tblPr>
      <w:tblGrid>
        <w:gridCol w:w="2200"/>
        <w:gridCol w:w="7540"/>
      </w:tblGrid>
      <w:tr>
        <w:trPr>
          <w:tblHeader w:val="true"/>
          <w:cantSplit/>
        </w:trPr>
        <w:tc>
          <w:tcPr>
            <w:tcW w:type="dxa" w:w="22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Élément</w:t>
            </w:r>
          </w:p>
        </w:tc>
        <w:tc>
          <w:tcPr>
            <w:tcW w:type="dxa" w:w="754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Exemple</w:t>
            </w:r>
          </w:p>
        </w:tc>
      </w:tr>
      <w:tr>
        <w:trPr>
          <w:cantSplit/>
        </w:trPr>
        <w:tc>
          <w:tcPr>
            <w:tcW w:type="dxa" w:w="22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Dépenses</w:t>
            </w:r>
          </w:p>
        </w:tc>
        <w:tc>
          <w:tcPr>
            <w:tcW w:type="dxa" w:w="75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Étude patrimoniale, relevé, maîtrise d'œuvre, travaux urgents, chantier-école et médiation.</w:t>
            </w:r>
          </w:p>
        </w:tc>
      </w:tr>
      <w:tr>
        <w:trPr>
          <w:cantSplit/>
        </w:trPr>
        <w:tc>
          <w:tcPr>
            <w:tcW w:type="dxa" w:w="22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Budget</w:t>
            </w:r>
          </w:p>
        </w:tc>
        <w:tc>
          <w:tcPr>
            <w:tcW w:type="dxa" w:w="75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80 000 € HT ; aide du fonds 40 000 € ; autres aides et commune 40 000 €.</w:t>
            </w:r>
          </w:p>
        </w:tc>
      </w:tr>
      <w:tr>
        <w:trPr>
          <w:cantSplit/>
        </w:trPr>
        <w:tc>
          <w:tcPr>
            <w:tcW w:type="dxa" w:w="22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Livrables</w:t>
            </w:r>
          </w:p>
        </w:tc>
        <w:tc>
          <w:tcPr>
            <w:tcW w:type="dxa" w:w="75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Diagnostic, dossier d'autorisation, travaux réceptionnés, carnet d'entretien et journée publique.</w:t>
            </w:r>
          </w:p>
        </w:tc>
      </w:tr>
      <w:tr>
        <w:trPr>
          <w:cantSplit/>
        </w:trPr>
        <w:tc>
          <w:tcPr>
            <w:tcW w:type="dxa" w:w="22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Impact</w:t>
            </w:r>
          </w:p>
        </w:tc>
        <w:tc>
          <w:tcPr>
            <w:tcW w:type="dxa" w:w="75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Sauvegarde d'un bien public, montée en compétence locale et réouverture sécurisée.</w:t>
            </w:r>
          </w:p>
        </w:tc>
      </w:tr>
      <w:tr>
        <w:trPr>
          <w:cantSplit/>
        </w:trPr>
        <w:tc>
          <w:tcPr>
            <w:tcW w:type="dxa" w:w="22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Garde-fou</w:t>
            </w:r>
          </w:p>
        </w:tc>
        <w:tc>
          <w:tcPr>
            <w:tcW w:type="dxa" w:w="75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Autorisation patrimoniale obtenue ; marché public régulier ; assurance et réception formalisées.</w:t>
            </w:r>
          </w:p>
        </w:tc>
      </w:tr>
    </w:tbl>
    <w:p>
      <w:pPr>
        <w:spacing w:after="40"/>
      </w:pPr>
    </w:p>
    <w:p>
      <w:r>
        <w:br w:type="page"/>
      </w:r>
    </w:p>
    <w:p>
      <w:pPr>
        <w:pStyle w:val="Heading1"/>
        <w:keepNext/>
        <w:pageBreakBefore w:val="0"/>
        <w:pBdr>
          <w:left w:val="single" w:sz="18" w:space="8" w:color="C5A46D"/>
        </w:pBdr>
      </w:pPr>
      <w:r>
        <w:rPr>
          <w:rFonts w:ascii="Nimbus Sans" w:hAnsi="Nimbus Sans" w:eastAsia="Nimbus Sans"/>
          <w:b/>
          <w:i w:val="0"/>
          <w:color w:val="0F2747"/>
          <w:sz w:val="36"/>
        </w:rPr>
        <w:t>12. Comptabilité, contrôle et obligations annuelles</w:t>
      </w:r>
    </w:p>
    <w:p>
      <w:pPr>
        <w:pStyle w:val="Heading2"/>
        <w:keepNext/>
      </w:pPr>
      <w:r>
        <w:rPr>
          <w:rFonts w:ascii="Nimbus Sans" w:hAnsi="Nimbus Sans" w:eastAsia="Nimbus Sans"/>
          <w:b/>
          <w:i w:val="0"/>
          <w:color w:val="2E6FA3"/>
          <w:sz w:val="26"/>
        </w:rPr>
        <w:t>12.1 Comptes</w:t>
      </w:r>
    </w:p>
    <w:p>
      <w:pPr>
        <w:keepLines w:val="0"/>
        <w:spacing w:before="0" w:after="80" w:line="269" w:lineRule="auto"/>
        <w:jc w:val="left"/>
      </w:pPr>
      <w:r>
        <w:rPr>
          <w:rFonts w:ascii="Nimbus Sans" w:hAnsi="Nimbus Sans" w:eastAsia="Nimbus Sans"/>
          <w:b w:val="0"/>
          <w:i w:val="0"/>
          <w:color w:val="222B35"/>
          <w:sz w:val="19"/>
        </w:rPr>
        <w:t>Le fonds tient une comptabilité conforme au règlement ANC n° 2018-06 modifié applicable aux personnes morales privées sans but lucratif. Les comptes annuels comprennent un bilan, un compte de résultat et une annexe. Pour une dotation consomptible, l'annexe suit le plan annuel ou pluriannuel de consommation. [R3, R9]</w:t>
      </w:r>
    </w:p>
    <w:p>
      <w:pPr>
        <w:pStyle w:val="Heading2"/>
        <w:keepNext/>
      </w:pPr>
      <w:r>
        <w:rPr>
          <w:rFonts w:ascii="Nimbus Sans" w:hAnsi="Nimbus Sans" w:eastAsia="Nimbus Sans"/>
          <w:b/>
          <w:i w:val="0"/>
          <w:color w:val="2E6FA3"/>
          <w:sz w:val="26"/>
        </w:rPr>
        <w:t>12.2 Rapport d'activité</w:t>
      </w:r>
    </w:p>
    <w:p>
      <w:pPr>
        <w:keepLines w:val="0"/>
        <w:spacing w:before="0" w:after="80" w:line="269" w:lineRule="auto"/>
        <w:jc w:val="left"/>
      </w:pPr>
      <w:r>
        <w:rPr>
          <w:rFonts w:ascii="Nimbus Sans" w:hAnsi="Nimbus Sans" w:eastAsia="Nimbus Sans"/>
          <w:b w:val="0"/>
          <w:i w:val="0"/>
          <w:color w:val="222B35"/>
          <w:sz w:val="19"/>
        </w:rPr>
        <w:t>Le conseil approuve chaque année un rapport détaillant le fonctionnement interne, les actions financées et leurs montants, l'identité et les coordonnées des personnes morales bénéficiaires, les redistributions et la liste des libéralités reçues avec leurs émetteurs. Le rapport est transmis par téléservice à l'autorité administrative dans les six mois de la clôture. [R2]</w:t>
      </w:r>
    </w:p>
    <w:p>
      <w:pPr>
        <w:pStyle w:val="Heading2"/>
        <w:keepNext/>
      </w:pPr>
      <w:r>
        <w:rPr>
          <w:rFonts w:ascii="Nimbus Sans" w:hAnsi="Nimbus Sans" w:eastAsia="Nimbus Sans"/>
          <w:b/>
          <w:i w:val="0"/>
          <w:color w:val="2E6FA3"/>
          <w:sz w:val="26"/>
        </w:rPr>
        <w:t>12.3 Publication et transmission</w:t>
      </w:r>
    </w:p>
    <w:tbl>
      <w:tblPr>
        <w:tblStyle w:val="TableGrid"/>
        <w:tblW w:type="dxa" w:w="9740"/>
        <w:jc w:val="left"/>
        <w:tblLayout w:type="fixed"/>
        <w:tblLook w:firstColumn="1" w:firstRow="1" w:lastColumn="0" w:lastRow="0" w:noHBand="0" w:noVBand="1" w:val="04A0"/>
        <w:tblInd w:w="120" w:type="dxa"/>
        <w:tblBorders>
          <w:top w:val="single" w:sz="6" w:color="D9DEE5"/>
          <w:left w:val="single" w:sz="6" w:color="D9DEE5"/>
          <w:bottom w:val="single" w:sz="6" w:color="D9DEE5"/>
          <w:right w:val="single" w:sz="6" w:color="D9DEE5"/>
          <w:insideH w:val="single" w:sz="6" w:color="D9DEE5"/>
          <w:insideV w:val="single" w:sz="6" w:color="D9DEE5"/>
        </w:tblBorders>
      </w:tblPr>
      <w:tblGrid>
        <w:gridCol w:w="3300"/>
        <w:gridCol w:w="2500"/>
        <w:gridCol w:w="3940"/>
      </w:tblGrid>
      <w:tr>
        <w:trPr>
          <w:tblHeader w:val="true"/>
          <w:cantSplit/>
        </w:trPr>
        <w:tc>
          <w:tcPr>
            <w:tcW w:type="dxa" w:w="33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Obligation</w:t>
            </w:r>
          </w:p>
        </w:tc>
        <w:tc>
          <w:tcPr>
            <w:tcW w:type="dxa" w:w="25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Délai</w:t>
            </w:r>
          </w:p>
        </w:tc>
        <w:tc>
          <w:tcPr>
            <w:tcW w:type="dxa" w:w="394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Responsable</w:t>
            </w:r>
          </w:p>
        </w:tc>
      </w:tr>
      <w:tr>
        <w:trPr>
          <w:cantSplit/>
        </w:trPr>
        <w:tc>
          <w:tcPr>
            <w:tcW w:type="dxa" w:w="33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Arrêté des comptes</w:t>
            </w:r>
          </w:p>
        </w:tc>
        <w:tc>
          <w:tcPr>
            <w:tcW w:type="dxa" w:w="25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Selon calendrier statutaire</w:t>
            </w:r>
          </w:p>
        </w:tc>
        <w:tc>
          <w:tcPr>
            <w:tcW w:type="dxa" w:w="39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Conseil / expert-comptable</w:t>
            </w:r>
          </w:p>
        </w:tc>
      </w:tr>
      <w:tr>
        <w:trPr>
          <w:cantSplit/>
        </w:trPr>
        <w:tc>
          <w:tcPr>
            <w:tcW w:type="dxa" w:w="33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Mise à disposition au CAC</w:t>
            </w:r>
          </w:p>
        </w:tc>
        <w:tc>
          <w:tcPr>
            <w:tcW w:type="dxa" w:w="25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45 jours avant le conseil d'approbation</w:t>
            </w:r>
          </w:p>
        </w:tc>
        <w:tc>
          <w:tcPr>
            <w:tcW w:type="dxa" w:w="39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Président / trésorier</w:t>
            </w:r>
          </w:p>
        </w:tc>
      </w:tr>
      <w:tr>
        <w:trPr>
          <w:cantSplit/>
        </w:trPr>
        <w:tc>
          <w:tcPr>
            <w:tcW w:type="dxa" w:w="33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Approbation des comptes et du rapport</w:t>
            </w:r>
          </w:p>
        </w:tc>
        <w:tc>
          <w:tcPr>
            <w:tcW w:type="dxa" w:w="25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Dans les 6 mois de la clôture</w:t>
            </w:r>
          </w:p>
        </w:tc>
        <w:tc>
          <w:tcPr>
            <w:tcW w:type="dxa" w:w="39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Conseil</w:t>
            </w:r>
          </w:p>
        </w:tc>
      </w:tr>
      <w:tr>
        <w:trPr>
          <w:cantSplit/>
        </w:trPr>
        <w:tc>
          <w:tcPr>
            <w:tcW w:type="dxa" w:w="33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Transmission préfecture</w:t>
            </w:r>
          </w:p>
        </w:tc>
        <w:tc>
          <w:tcPr>
            <w:tcW w:type="dxa" w:w="25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Dans les 6 mois</w:t>
            </w:r>
          </w:p>
        </w:tc>
        <w:tc>
          <w:tcPr>
            <w:tcW w:type="dxa" w:w="39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Président, par téléservice</w:t>
            </w:r>
          </w:p>
        </w:tc>
      </w:tr>
      <w:tr>
        <w:trPr>
          <w:cantSplit/>
        </w:trPr>
        <w:tc>
          <w:tcPr>
            <w:tcW w:type="dxa" w:w="33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Publication DILA</w:t>
            </w:r>
          </w:p>
        </w:tc>
        <w:tc>
          <w:tcPr>
            <w:tcW w:type="dxa" w:w="25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Dans les 6 mois</w:t>
            </w:r>
          </w:p>
        </w:tc>
        <w:tc>
          <w:tcPr>
            <w:tcW w:type="dxa" w:w="39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Président / mandataire</w:t>
            </w:r>
          </w:p>
        </w:tc>
      </w:tr>
      <w:tr>
        <w:trPr>
          <w:cantSplit/>
        </w:trPr>
        <w:tc>
          <w:tcPr>
            <w:tcW w:type="dxa" w:w="33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Déclaration dons et reçus - art. 222 bis CGI</w:t>
            </w:r>
          </w:p>
        </w:tc>
        <w:tc>
          <w:tcPr>
            <w:tcW w:type="dxa" w:w="25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3 mois après clôture, ou échéance de mai si clôture au 31/12</w:t>
            </w:r>
          </w:p>
        </w:tc>
        <w:tc>
          <w:tcPr>
            <w:tcW w:type="dxa" w:w="39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Expert-comptable / président</w:t>
            </w:r>
          </w:p>
        </w:tc>
      </w:tr>
    </w:tbl>
    <w:p>
      <w:pPr>
        <w:spacing w:after="40"/>
      </w:pPr>
    </w:p>
    <w:p>
      <w:pPr>
        <w:pStyle w:val="Heading2"/>
        <w:keepNext/>
      </w:pPr>
      <w:r>
        <w:rPr>
          <w:rFonts w:ascii="Nimbus Sans" w:hAnsi="Nimbus Sans" w:eastAsia="Nimbus Sans"/>
          <w:b/>
          <w:i w:val="0"/>
          <w:color w:val="2E6FA3"/>
          <w:sz w:val="26"/>
        </w:rPr>
        <w:t>12.4 Commissaire aux comptes</w:t>
      </w:r>
    </w:p>
    <w:p>
      <w:pPr>
        <w:keepLines w:val="0"/>
        <w:spacing w:before="0" w:after="80" w:line="269" w:lineRule="auto"/>
        <w:jc w:val="left"/>
      </w:pPr>
      <w:r>
        <w:rPr>
          <w:rFonts w:ascii="Nimbus Sans" w:hAnsi="Nimbus Sans" w:eastAsia="Nimbus Sans"/>
          <w:b w:val="0"/>
          <w:i w:val="0"/>
          <w:color w:val="222B35"/>
          <w:sz w:val="19"/>
        </w:rPr>
        <w:t>Le seuil légal de nomination est dépassé lorsque les ressources excèdent 10 000 € en fin d'exercice. Compte tenu de la dotation initiale de 15 000 €, la charte prévoit une nomination dès le premier exercice, sans attendre. Le CAC certifie les comptes, vérifie leur concordance avec le rapport d'activité et peut déclencher une procédure d'alerte sur la continuité. [R1-R3]</w:t>
      </w:r>
    </w:p>
    <w:p>
      <w:pPr>
        <w:pStyle w:val="Heading2"/>
        <w:keepNext/>
      </w:pPr>
      <w:r>
        <w:rPr>
          <w:rFonts w:ascii="Nimbus Sans" w:hAnsi="Nimbus Sans" w:eastAsia="Nimbus Sans"/>
          <w:b/>
          <w:i w:val="0"/>
          <w:color w:val="2E6FA3"/>
          <w:sz w:val="26"/>
        </w:rPr>
        <w:t>12.5 Justification des redistributions</w:t>
      </w:r>
    </w:p>
    <w:p>
      <w:pPr>
        <w:pStyle w:val="ListBullet"/>
        <w:spacing w:after="40" w:line="259" w:lineRule="auto"/>
        <w:ind w:left="312" w:hanging="125"/>
      </w:pPr>
      <w:r>
        <w:rPr>
          <w:rFonts w:ascii="Nimbus Sans" w:hAnsi="Nimbus Sans" w:eastAsia="Nimbus Sans"/>
          <w:b w:val="0"/>
          <w:i w:val="0"/>
          <w:color w:val="222B35"/>
          <w:sz w:val="18"/>
        </w:rPr>
        <w:t>convention signée avec chaque bénéficiaire ;</w:t>
      </w:r>
    </w:p>
    <w:p>
      <w:pPr>
        <w:pStyle w:val="ListBullet"/>
        <w:spacing w:after="40" w:line="259" w:lineRule="auto"/>
        <w:ind w:left="312" w:hanging="125"/>
      </w:pPr>
      <w:r>
        <w:rPr>
          <w:rFonts w:ascii="Nimbus Sans" w:hAnsi="Nimbus Sans" w:eastAsia="Nimbus Sans"/>
          <w:b w:val="0"/>
          <w:i w:val="0"/>
          <w:color w:val="222B35"/>
          <w:sz w:val="18"/>
        </w:rPr>
        <w:t>attestation du montant et de l'affectation des versements reçus ;</w:t>
      </w:r>
    </w:p>
    <w:p>
      <w:pPr>
        <w:pStyle w:val="ListBullet"/>
        <w:spacing w:after="40" w:line="259" w:lineRule="auto"/>
        <w:ind w:left="312" w:hanging="125"/>
      </w:pPr>
      <w:r>
        <w:rPr>
          <w:rFonts w:ascii="Nimbus Sans" w:hAnsi="Nimbus Sans" w:eastAsia="Nimbus Sans"/>
          <w:b w:val="0"/>
          <w:i w:val="0"/>
          <w:color w:val="222B35"/>
          <w:sz w:val="18"/>
        </w:rPr>
        <w:t>comptabilité séparée ou analytique du projet chez la commune ;</w:t>
      </w:r>
    </w:p>
    <w:p>
      <w:pPr>
        <w:pStyle w:val="ListBullet"/>
        <w:spacing w:after="40" w:line="259" w:lineRule="auto"/>
        <w:ind w:left="312" w:hanging="125"/>
      </w:pPr>
      <w:r>
        <w:rPr>
          <w:rFonts w:ascii="Nimbus Sans" w:hAnsi="Nimbus Sans" w:eastAsia="Nimbus Sans"/>
          <w:b w:val="0"/>
          <w:i w:val="0"/>
          <w:color w:val="222B35"/>
          <w:sz w:val="18"/>
        </w:rPr>
        <w:t>pièces de commande, factures, livrables et preuves de paiement ;</w:t>
      </w:r>
    </w:p>
    <w:p>
      <w:pPr>
        <w:pStyle w:val="ListBullet"/>
        <w:spacing w:after="40" w:line="259" w:lineRule="auto"/>
        <w:ind w:left="312" w:hanging="125"/>
      </w:pPr>
      <w:r>
        <w:rPr>
          <w:rFonts w:ascii="Nimbus Sans" w:hAnsi="Nimbus Sans" w:eastAsia="Nimbus Sans"/>
          <w:b w:val="0"/>
          <w:i w:val="0"/>
          <w:color w:val="222B35"/>
          <w:sz w:val="18"/>
        </w:rPr>
        <w:t>contrôle sur pièces systématique et contrôle sur place par sondage ;</w:t>
      </w:r>
    </w:p>
    <w:p>
      <w:pPr>
        <w:pStyle w:val="ListBullet"/>
        <w:spacing w:after="40" w:line="259" w:lineRule="auto"/>
        <w:ind w:left="312" w:hanging="125"/>
      </w:pPr>
      <w:r>
        <w:rPr>
          <w:rFonts w:ascii="Nimbus Sans" w:hAnsi="Nimbus Sans" w:eastAsia="Nimbus Sans"/>
          <w:b w:val="0"/>
          <w:i w:val="0"/>
          <w:color w:val="222B35"/>
          <w:sz w:val="18"/>
        </w:rPr>
        <w:t>conservation des documents pendant la durée légale applicable, avec un minimum interne de dix ans pour les conventions et pièces financières.</w:t>
      </w:r>
    </w:p>
    <w:p>
      <w:r>
        <w:br w:type="page"/>
      </w:r>
    </w:p>
    <w:p>
      <w:pPr>
        <w:pStyle w:val="Heading1"/>
        <w:keepNext/>
        <w:pageBreakBefore w:val="0"/>
        <w:pBdr>
          <w:left w:val="single" w:sz="18" w:space="8" w:color="C5A46D"/>
        </w:pBdr>
      </w:pPr>
      <w:r>
        <w:rPr>
          <w:rFonts w:ascii="Nimbus Sans" w:hAnsi="Nimbus Sans" w:eastAsia="Nimbus Sans"/>
          <w:b/>
          <w:i w:val="0"/>
          <w:color w:val="0F2747"/>
          <w:sz w:val="36"/>
        </w:rPr>
        <w:t>13. Rétroplanning jusqu'à la première redistribution</w:t>
      </w:r>
    </w:p>
    <w:tbl>
      <w:tblPr>
        <w:tblStyle w:val="TableGrid"/>
        <w:tblW w:type="dxa" w:w="9740"/>
        <w:jc w:val="left"/>
        <w:tblLayout w:type="fixed"/>
        <w:tblLook w:firstColumn="1" w:firstRow="1" w:lastColumn="0" w:lastRow="0" w:noHBand="0" w:noVBand="1" w:val="04A0"/>
        <w:tblInd w:w="120" w:type="dxa"/>
        <w:tblBorders>
          <w:top w:val="single" w:sz="6" w:color="D9DEE5"/>
          <w:left w:val="single" w:sz="6" w:color="D9DEE5"/>
          <w:bottom w:val="single" w:sz="6" w:color="D9DEE5"/>
          <w:right w:val="single" w:sz="6" w:color="D9DEE5"/>
          <w:insideH w:val="single" w:sz="6" w:color="D9DEE5"/>
          <w:insideV w:val="single" w:sz="6" w:color="D9DEE5"/>
        </w:tblBorders>
      </w:tblPr>
      <w:tblGrid>
        <w:gridCol w:w="1900"/>
        <w:gridCol w:w="1900"/>
        <w:gridCol w:w="5940"/>
      </w:tblGrid>
      <w:tr>
        <w:trPr>
          <w:tblHeader w:val="true"/>
          <w:cantSplit/>
        </w:trPr>
        <w:tc>
          <w:tcPr>
            <w:tcW w:type="dxa" w:w="19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Période</w:t>
            </w:r>
          </w:p>
        </w:tc>
        <w:tc>
          <w:tcPr>
            <w:tcW w:type="dxa" w:w="19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Phase</w:t>
            </w:r>
          </w:p>
        </w:tc>
        <w:tc>
          <w:tcPr>
            <w:tcW w:type="dxa" w:w="594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Livrable / décision</w:t>
            </w:r>
          </w:p>
        </w:tc>
      </w:tr>
      <w:tr>
        <w:trPr>
          <w:cantSplit/>
        </w:trPr>
        <w:tc>
          <w:tcPr>
            <w:tcW w:type="dxa" w:w="19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5"/>
              </w:rPr>
              <w:t>Sept.-oct. 2026</w:t>
            </w:r>
          </w:p>
        </w:tc>
        <w:tc>
          <w:tcPr>
            <w:tcW w:type="dxa" w:w="19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Cadrage</w:t>
            </w:r>
          </w:p>
        </w:tc>
        <w:tc>
          <w:tcPr>
            <w:tcW w:type="dxa" w:w="59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Valider l'objet, la gouvernance, le modèle consomptible, la formule des 30 % et le siège.</w:t>
            </w:r>
          </w:p>
        </w:tc>
      </w:tr>
      <w:tr>
        <w:trPr>
          <w:cantSplit/>
        </w:trPr>
        <w:tc>
          <w:tcPr>
            <w:tcW w:type="dxa" w:w="19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5"/>
              </w:rPr>
              <w:t>Nov. 2026</w:t>
            </w:r>
          </w:p>
        </w:tc>
        <w:tc>
          <w:tcPr>
            <w:tcW w:type="dxa" w:w="19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Sécurisation</w:t>
            </w:r>
          </w:p>
        </w:tc>
        <w:tc>
          <w:tcPr>
            <w:tcW w:type="dxa" w:w="59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Projet de statuts, règlement intérieur, convention SAS/fonds, consultation CDC, choix banque de repli.</w:t>
            </w:r>
          </w:p>
        </w:tc>
      </w:tr>
      <w:tr>
        <w:trPr>
          <w:cantSplit/>
        </w:trPr>
        <w:tc>
          <w:tcPr>
            <w:tcW w:type="dxa" w:w="19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5"/>
              </w:rPr>
              <w:t>Déc. 2026</w:t>
            </w:r>
          </w:p>
        </w:tc>
        <w:tc>
          <w:tcPr>
            <w:tcW w:type="dxa" w:w="19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Fiscalité</w:t>
            </w:r>
          </w:p>
        </w:tc>
        <w:tc>
          <w:tcPr>
            <w:tcW w:type="dxa" w:w="59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Préparer le rescrit mécénat ; sélectionner expert-comptable et CAC distincts.</w:t>
            </w:r>
          </w:p>
        </w:tc>
      </w:tr>
      <w:tr>
        <w:trPr>
          <w:cantSplit/>
        </w:trPr>
        <w:tc>
          <w:tcPr>
            <w:tcW w:type="dxa" w:w="19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5"/>
              </w:rPr>
              <w:t>Jan.-mars 2027</w:t>
            </w:r>
          </w:p>
        </w:tc>
        <w:tc>
          <w:tcPr>
            <w:tcW w:type="dxa" w:w="19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Création</w:t>
            </w:r>
          </w:p>
        </w:tc>
        <w:tc>
          <w:tcPr>
            <w:tcW w:type="dxa" w:w="59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Déclaration préfectorale, publication JO, dotation initiale de 15 000 €, ouverture des comptes.</w:t>
            </w:r>
          </w:p>
        </w:tc>
      </w:tr>
      <w:tr>
        <w:trPr>
          <w:cantSplit/>
        </w:trPr>
        <w:tc>
          <w:tcPr>
            <w:tcW w:type="dxa" w:w="19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5"/>
              </w:rPr>
              <w:t>Avr.-déc. 2027</w:t>
            </w:r>
          </w:p>
        </w:tc>
        <w:tc>
          <w:tcPr>
            <w:tcW w:type="dxa" w:w="19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Accumulation</w:t>
            </w:r>
          </w:p>
        </w:tc>
        <w:tc>
          <w:tcPr>
            <w:tcW w:type="dxa" w:w="59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Suivi analytique mensuel des partenariats ; politique d'investissement ; cartographie des risques.</w:t>
            </w:r>
          </w:p>
        </w:tc>
      </w:tr>
      <w:tr>
        <w:trPr>
          <w:cantSplit/>
        </w:trPr>
        <w:tc>
          <w:tcPr>
            <w:tcW w:type="dxa" w:w="19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5"/>
              </w:rPr>
              <w:t>Jan.-mars 2028</w:t>
            </w:r>
          </w:p>
        </w:tc>
        <w:tc>
          <w:tcPr>
            <w:tcW w:type="dxa" w:w="19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Préparation</w:t>
            </w:r>
          </w:p>
        </w:tc>
        <w:tc>
          <w:tcPr>
            <w:tcW w:type="dxa" w:w="59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Clôture 2027 ; prévision d'enveloppe ; publication du règlement de l'appel à projets.</w:t>
            </w:r>
          </w:p>
        </w:tc>
      </w:tr>
      <w:tr>
        <w:trPr>
          <w:cantSplit/>
        </w:trPr>
        <w:tc>
          <w:tcPr>
            <w:tcW w:type="dxa" w:w="19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5"/>
              </w:rPr>
              <w:t>Avr.-juin 2028</w:t>
            </w:r>
          </w:p>
        </w:tc>
        <w:tc>
          <w:tcPr>
            <w:tcW w:type="dxa" w:w="19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Entrée des fonds</w:t>
            </w:r>
          </w:p>
        </w:tc>
        <w:tc>
          <w:tcPr>
            <w:tcW w:type="dxa" w:w="59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Approbation des comptes SAS, note de calcul, décision et versement des 30 % au fonds.</w:t>
            </w:r>
          </w:p>
        </w:tc>
      </w:tr>
      <w:tr>
        <w:trPr>
          <w:cantSplit/>
        </w:trPr>
        <w:tc>
          <w:tcPr>
            <w:tcW w:type="dxa" w:w="19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5"/>
              </w:rPr>
              <w:t>Avr.-mai 2028</w:t>
            </w:r>
          </w:p>
        </w:tc>
        <w:tc>
          <w:tcPr>
            <w:tcW w:type="dxa" w:w="19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Candidatures</w:t>
            </w:r>
          </w:p>
        </w:tc>
        <w:tc>
          <w:tcPr>
            <w:tcW w:type="dxa" w:w="59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Ouverture et dépôt des dossiers, sous réserve de l'enveloppe finale.</w:t>
            </w:r>
          </w:p>
        </w:tc>
      </w:tr>
      <w:tr>
        <w:trPr>
          <w:cantSplit/>
        </w:trPr>
        <w:tc>
          <w:tcPr>
            <w:tcW w:type="dxa" w:w="19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5"/>
              </w:rPr>
              <w:t>Juin-juil. 2028</w:t>
            </w:r>
          </w:p>
        </w:tc>
        <w:tc>
          <w:tcPr>
            <w:tcW w:type="dxa" w:w="19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Instruction</w:t>
            </w:r>
          </w:p>
        </w:tc>
        <w:tc>
          <w:tcPr>
            <w:tcW w:type="dxa" w:w="59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Recevabilité, conflits, notation, auditions et classement.</w:t>
            </w:r>
          </w:p>
        </w:tc>
      </w:tr>
      <w:tr>
        <w:trPr>
          <w:cantSplit/>
        </w:trPr>
        <w:tc>
          <w:tcPr>
            <w:tcW w:type="dxa" w:w="19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5"/>
              </w:rPr>
              <w:t>Sept. 2028</w:t>
            </w:r>
          </w:p>
        </w:tc>
        <w:tc>
          <w:tcPr>
            <w:tcW w:type="dxa" w:w="19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Décision</w:t>
            </w:r>
          </w:p>
        </w:tc>
        <w:tc>
          <w:tcPr>
            <w:tcW w:type="dxa" w:w="59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Conseil d'attribution, notification, publication et recours procédural.</w:t>
            </w:r>
          </w:p>
        </w:tc>
      </w:tr>
      <w:tr>
        <w:trPr>
          <w:cantSplit/>
        </w:trPr>
        <w:tc>
          <w:tcPr>
            <w:tcW w:type="dxa" w:w="19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5"/>
              </w:rPr>
              <w:t>Oct.-nov. 2028</w:t>
            </w:r>
          </w:p>
        </w:tc>
        <w:tc>
          <w:tcPr>
            <w:tcW w:type="dxa" w:w="19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Convention</w:t>
            </w:r>
          </w:p>
        </w:tc>
        <w:tc>
          <w:tcPr>
            <w:tcW w:type="dxa" w:w="59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Délibérations communales, signatures, vérification bancaire et engagements.</w:t>
            </w:r>
          </w:p>
        </w:tc>
      </w:tr>
      <w:tr>
        <w:trPr>
          <w:cantSplit/>
        </w:trPr>
        <w:tc>
          <w:tcPr>
            <w:tcW w:type="dxa" w:w="19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5"/>
              </w:rPr>
              <w:t>Nov.-déc. 2028</w:t>
            </w:r>
          </w:p>
        </w:tc>
        <w:tc>
          <w:tcPr>
            <w:tcW w:type="dxa" w:w="19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Premiers versements</w:t>
            </w:r>
          </w:p>
        </w:tc>
        <w:tc>
          <w:tcPr>
            <w:tcW w:type="dxa" w:w="59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Décaissement des avances avant le 31 décembre 2028 ; publication du tableau d'attribution.</w:t>
            </w:r>
          </w:p>
        </w:tc>
      </w:tr>
      <w:tr>
        <w:trPr>
          <w:cantSplit/>
        </w:trPr>
        <w:tc>
          <w:tcPr>
            <w:tcW w:type="dxa" w:w="19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5"/>
              </w:rPr>
              <w:t>Jan.-juin 2029</w:t>
            </w:r>
          </w:p>
        </w:tc>
        <w:tc>
          <w:tcPr>
            <w:tcW w:type="dxa" w:w="19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Reddition</w:t>
            </w:r>
          </w:p>
        </w:tc>
        <w:tc>
          <w:tcPr>
            <w:tcW w:type="dxa" w:w="59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Suivi, clôture du fonds, certification, rapport 2028, transmission et publication.</w:t>
            </w:r>
          </w:p>
        </w:tc>
      </w:tr>
    </w:tbl>
    <w:p>
      <w:pPr>
        <w:spacing w:after="40"/>
      </w:pPr>
    </w:p>
    <w:p>
      <w:pPr>
        <w:spacing w:before="100" w:after="140" w:line="264" w:lineRule="auto"/>
        <w:ind w:left="142" w:right="142"/>
        <w:shd w:fill="F7F1E7" w:val="clear"/>
        <w:pBdr>
          <w:left w:val="single" w:sz="20" w:space="6" w:color="C5A46D"/>
        </w:pBdr>
      </w:pPr>
      <w:r>
        <w:rPr>
          <w:rFonts w:ascii="Nimbus Sans" w:hAnsi="Nimbus Sans" w:eastAsia="Nimbus Sans"/>
          <w:b/>
          <w:i w:val="0"/>
          <w:color w:val="C5A46D"/>
          <w:sz w:val="18"/>
        </w:rPr>
        <w:t xml:space="preserve">CONDITION DE LANCEMENT  </w:t>
      </w:r>
      <w:r>
        <w:rPr>
          <w:rFonts w:ascii="Nimbus Sans" w:hAnsi="Nimbus Sans" w:eastAsia="Nimbus Sans"/>
          <w:b w:val="0"/>
          <w:i w:val="0"/>
          <w:color w:val="222B35"/>
          <w:sz w:val="18"/>
        </w:rPr>
        <w:t>L'appel à projets peut être publié avant le montant définitif de la contribution 2027, mais toutes les communications doivent préciser que les attributions sont conditionnées au résultat positif de la SAS PLU, au versement effectif et à la décision du conseil du fonds.</w:t>
      </w:r>
    </w:p>
    <w:p>
      <w:pPr>
        <w:pStyle w:val="Heading2"/>
        <w:keepNext/>
      </w:pPr>
      <w:r>
        <w:rPr>
          <w:rFonts w:ascii="Nimbus Sans" w:hAnsi="Nimbus Sans" w:eastAsia="Nimbus Sans"/>
          <w:b/>
          <w:i w:val="0"/>
          <w:color w:val="2E6FA3"/>
          <w:sz w:val="26"/>
        </w:rPr>
        <w:t>13.1 Cycle financier annuel après 2028</w:t>
      </w:r>
    </w:p>
    <w:p>
      <w:pPr>
        <w:keepLines w:val="0"/>
        <w:spacing w:before="0" w:after="80" w:line="269" w:lineRule="auto"/>
        <w:jc w:val="left"/>
      </w:pPr>
      <w:r>
        <w:rPr>
          <w:rFonts w:ascii="Nimbus Sans" w:hAnsi="Nimbus Sans" w:eastAsia="Nimbus Sans"/>
          <w:b w:val="0"/>
          <w:i w:val="0"/>
          <w:color w:val="222B35"/>
          <w:sz w:val="19"/>
        </w:rPr>
        <w:t>Chaque exercice N finance prioritairement l'appel de N+1 après approbation des comptes de la SAS. Le fonds peut constituer des engagements pluriannuels, mais ne promet jamais plus de 70 % de sa trésorerie disponible non affectée au jour de la décision.</w:t>
      </w:r>
    </w:p>
    <w:p>
      <w:r>
        <w:br w:type="page"/>
      </w:r>
    </w:p>
    <w:p>
      <w:pPr>
        <w:pStyle w:val="Heading1"/>
        <w:keepNext/>
        <w:pageBreakBefore w:val="0"/>
        <w:pBdr>
          <w:left w:val="single" w:sz="18" w:space="8" w:color="C5A46D"/>
        </w:pBdr>
      </w:pPr>
      <w:r>
        <w:rPr>
          <w:rFonts w:ascii="Nimbus Sans" w:hAnsi="Nimbus Sans" w:eastAsia="Nimbus Sans"/>
          <w:b/>
          <w:i w:val="0"/>
          <w:color w:val="0F2747"/>
          <w:sz w:val="36"/>
        </w:rPr>
        <w:t>14. Registre initial des risques</w:t>
      </w:r>
    </w:p>
    <w:tbl>
      <w:tblPr>
        <w:tblStyle w:val="TableGrid"/>
        <w:tblW w:type="dxa" w:w="9740"/>
        <w:jc w:val="left"/>
        <w:tblLayout w:type="fixed"/>
        <w:tblLook w:firstColumn="1" w:firstRow="1" w:lastColumn="0" w:lastRow="0" w:noHBand="0" w:noVBand="1" w:val="04A0"/>
        <w:tblInd w:w="120" w:type="dxa"/>
        <w:tblBorders>
          <w:top w:val="single" w:sz="6" w:color="D9DEE5"/>
          <w:left w:val="single" w:sz="6" w:color="D9DEE5"/>
          <w:bottom w:val="single" w:sz="6" w:color="D9DEE5"/>
          <w:right w:val="single" w:sz="6" w:color="D9DEE5"/>
          <w:insideH w:val="single" w:sz="6" w:color="D9DEE5"/>
          <w:insideV w:val="single" w:sz="6" w:color="D9DEE5"/>
        </w:tblBorders>
      </w:tblPr>
      <w:tblGrid>
        <w:gridCol w:w="3200"/>
        <w:gridCol w:w="1600"/>
        <w:gridCol w:w="4940"/>
      </w:tblGrid>
      <w:tr>
        <w:trPr>
          <w:tblHeader w:val="true"/>
          <w:cantSplit/>
        </w:trPr>
        <w:tc>
          <w:tcPr>
            <w:tcW w:type="dxa" w:w="32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Risque</w:t>
            </w:r>
          </w:p>
        </w:tc>
        <w:tc>
          <w:tcPr>
            <w:tcW w:type="dxa" w:w="16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Niveau initial</w:t>
            </w:r>
          </w:p>
        </w:tc>
        <w:tc>
          <w:tcPr>
            <w:tcW w:type="dxa" w:w="494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Mesure principale</w:t>
            </w:r>
          </w:p>
        </w:tc>
      </w:tr>
      <w:tr>
        <w:trPr>
          <w:cantSplit/>
        </w:trPr>
        <w:tc>
          <w:tcPr>
            <w:tcW w:type="dxa" w:w="32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5"/>
              </w:rPr>
              <w:t>Cercle restreint / contrepartie</w:t>
            </w:r>
          </w:p>
        </w:tc>
        <w:tc>
          <w:tcPr>
            <w:tcW w:type="dxa" w:w="16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Élevé</w:t>
            </w:r>
          </w:p>
        </w:tc>
        <w:tc>
          <w:tcPr>
            <w:tcW w:type="dxa" w:w="49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Voie ouverte à des non-partenaires ; bonus PLU limité à 5 points ; rescrit mécénat.</w:t>
            </w:r>
          </w:p>
        </w:tc>
      </w:tr>
      <w:tr>
        <w:trPr>
          <w:cantSplit/>
        </w:trPr>
        <w:tc>
          <w:tcPr>
            <w:tcW w:type="dxa" w:w="32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5"/>
              </w:rPr>
              <w:t>Fonds publics interdits</w:t>
            </w:r>
          </w:p>
        </w:tc>
        <w:tc>
          <w:tcPr>
            <w:tcW w:type="dxa" w:w="16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Élevé</w:t>
            </w:r>
          </w:p>
        </w:tc>
        <w:tc>
          <w:tcPr>
            <w:tcW w:type="dxa" w:w="49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Aucune redevance encaissée par le fonds ; don décidé sur ressources privées de la SAS.</w:t>
            </w:r>
          </w:p>
        </w:tc>
      </w:tr>
      <w:tr>
        <w:trPr>
          <w:cantSplit/>
        </w:trPr>
        <w:tc>
          <w:tcPr>
            <w:tcW w:type="dxa" w:w="32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5"/>
              </w:rPr>
              <w:t>CDC indisponible</w:t>
            </w:r>
          </w:p>
        </w:tc>
        <w:tc>
          <w:tcPr>
            <w:tcW w:type="dxa" w:w="16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Élevé</w:t>
            </w:r>
          </w:p>
        </w:tc>
        <w:tc>
          <w:tcPr>
            <w:tcW w:type="dxa" w:w="49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Clause conditionnelle ; établissement de crédit de repli avant le premier encaissement.</w:t>
            </w:r>
          </w:p>
        </w:tc>
      </w:tr>
      <w:tr>
        <w:trPr>
          <w:cantSplit/>
        </w:trPr>
        <w:tc>
          <w:tcPr>
            <w:tcW w:type="dxa" w:w="32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5"/>
              </w:rPr>
              <w:t>Confusion PLU / fonds</w:t>
            </w:r>
          </w:p>
        </w:tc>
        <w:tc>
          <w:tcPr>
            <w:tcW w:type="dxa" w:w="16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Élevé</w:t>
            </w:r>
          </w:p>
        </w:tc>
        <w:tc>
          <w:tcPr>
            <w:tcW w:type="dxa" w:w="49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Identité juridique et bancaire distincte ; majorité indépendante ; communication séparée.</w:t>
            </w:r>
          </w:p>
        </w:tc>
      </w:tr>
      <w:tr>
        <w:trPr>
          <w:cantSplit/>
        </w:trPr>
        <w:tc>
          <w:tcPr>
            <w:tcW w:type="dxa" w:w="32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5"/>
              </w:rPr>
              <w:t>Conflit d'intérêts</w:t>
            </w:r>
          </w:p>
        </w:tc>
        <w:tc>
          <w:tcPr>
            <w:tcW w:type="dxa" w:w="16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Élevé</w:t>
            </w:r>
          </w:p>
        </w:tc>
        <w:tc>
          <w:tcPr>
            <w:tcW w:type="dxa" w:w="49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Déclarations, déports, comité d'éthique, exclusion des fournisseurs liés.</w:t>
            </w:r>
          </w:p>
        </w:tc>
      </w:tr>
      <w:tr>
        <w:trPr>
          <w:cantSplit/>
        </w:trPr>
        <w:tc>
          <w:tcPr>
            <w:tcW w:type="dxa" w:w="32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5"/>
              </w:rPr>
              <w:t>Calcul contesté des 30 %</w:t>
            </w:r>
          </w:p>
        </w:tc>
        <w:tc>
          <w:tcPr>
            <w:tcW w:type="dxa" w:w="16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Moyen</w:t>
            </w:r>
          </w:p>
        </w:tc>
        <w:tc>
          <w:tcPr>
            <w:tcW w:type="dxa" w:w="49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Convention, centre analytique, clés stables et attestation comptable.</w:t>
            </w:r>
          </w:p>
        </w:tc>
      </w:tr>
      <w:tr>
        <w:trPr>
          <w:cantSplit/>
        </w:trPr>
        <w:tc>
          <w:tcPr>
            <w:tcW w:type="dxa" w:w="32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5"/>
              </w:rPr>
              <w:t>Résultat 2027 insuffisant</w:t>
            </w:r>
          </w:p>
        </w:tc>
        <w:tc>
          <w:tcPr>
            <w:tcW w:type="dxa" w:w="16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Moyen</w:t>
            </w:r>
          </w:p>
        </w:tc>
        <w:tc>
          <w:tcPr>
            <w:tcW w:type="dxa" w:w="49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Appel conditionnel ; absence de droit acquis ; montant ajusté avant décision.</w:t>
            </w:r>
          </w:p>
        </w:tc>
      </w:tr>
      <w:tr>
        <w:trPr>
          <w:cantSplit/>
        </w:trPr>
        <w:tc>
          <w:tcPr>
            <w:tcW w:type="dxa" w:w="32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5"/>
              </w:rPr>
              <w:t>Perte sur placement</w:t>
            </w:r>
          </w:p>
        </w:tc>
        <w:tc>
          <w:tcPr>
            <w:tcW w:type="dxa" w:w="16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Faible</w:t>
            </w:r>
          </w:p>
        </w:tc>
        <w:tc>
          <w:tcPr>
            <w:tcW w:type="dxa" w:w="49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Capital garanti, échéances courtes, dispersion et interdiction des actifs risqués.</w:t>
            </w:r>
          </w:p>
        </w:tc>
      </w:tr>
      <w:tr>
        <w:trPr>
          <w:cantSplit/>
        </w:trPr>
        <w:tc>
          <w:tcPr>
            <w:tcW w:type="dxa" w:w="32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5"/>
              </w:rPr>
              <w:t>Dépense irrégulière d'une commune</w:t>
            </w:r>
          </w:p>
        </w:tc>
        <w:tc>
          <w:tcPr>
            <w:tcW w:type="dxa" w:w="160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Moyen</w:t>
            </w:r>
          </w:p>
        </w:tc>
        <w:tc>
          <w:tcPr>
            <w:tcW w:type="dxa" w:w="49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Convention, tranches, attestation, contrôles et remboursement.</w:t>
            </w:r>
          </w:p>
        </w:tc>
      </w:tr>
      <w:tr>
        <w:trPr>
          <w:cantSplit/>
        </w:trPr>
        <w:tc>
          <w:tcPr>
            <w:tcW w:type="dxa" w:w="32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5"/>
              </w:rPr>
              <w:t>Coûts de structure excessifs</w:t>
            </w:r>
          </w:p>
        </w:tc>
        <w:tc>
          <w:tcPr>
            <w:tcW w:type="dxa" w:w="160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Moyen</w:t>
            </w:r>
          </w:p>
        </w:tc>
        <w:tc>
          <w:tcPr>
            <w:tcW w:type="dxa" w:w="49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5"/>
              </w:rPr>
              <w:t>Plafond de 8 %, budget public et mise en concurrence des conseils.</w:t>
            </w:r>
          </w:p>
        </w:tc>
      </w:tr>
    </w:tbl>
    <w:p>
      <w:pPr>
        <w:spacing w:after="40"/>
      </w:pPr>
    </w:p>
    <w:p>
      <w:pPr>
        <w:pStyle w:val="Heading2"/>
        <w:keepNext/>
      </w:pPr>
      <w:r>
        <w:rPr>
          <w:rFonts w:ascii="Nimbus Sans" w:hAnsi="Nimbus Sans" w:eastAsia="Nimbus Sans"/>
          <w:b/>
          <w:i w:val="0"/>
          <w:color w:val="2E6FA3"/>
          <w:sz w:val="26"/>
        </w:rPr>
        <w:t>14.1 Indicateurs de pilotage</w:t>
      </w:r>
    </w:p>
    <w:tbl>
      <w:tblPr>
        <w:tblStyle w:val="TableGrid"/>
        <w:tblW w:type="dxa" w:w="9740"/>
        <w:jc w:val="left"/>
        <w:tblLayout w:type="fixed"/>
        <w:tblLook w:firstColumn="1" w:firstRow="1" w:lastColumn="0" w:lastRow="0" w:noHBand="0" w:noVBand="1" w:val="04A0"/>
        <w:tblInd w:w="120" w:type="dxa"/>
        <w:tblBorders>
          <w:top w:val="single" w:sz="6" w:color="D9DEE5"/>
          <w:left w:val="single" w:sz="6" w:color="D9DEE5"/>
          <w:bottom w:val="single" w:sz="6" w:color="D9DEE5"/>
          <w:right w:val="single" w:sz="6" w:color="D9DEE5"/>
          <w:insideH w:val="single" w:sz="6" w:color="D9DEE5"/>
          <w:insideV w:val="single" w:sz="6" w:color="D9DEE5"/>
        </w:tblBorders>
      </w:tblPr>
      <w:tblGrid>
        <w:gridCol w:w="6000"/>
        <w:gridCol w:w="3740"/>
      </w:tblGrid>
      <w:tr>
        <w:trPr>
          <w:tblHeader w:val="true"/>
          <w:cantSplit/>
        </w:trPr>
        <w:tc>
          <w:tcPr>
            <w:tcW w:type="dxa" w:w="600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Indicateur</w:t>
            </w:r>
          </w:p>
        </w:tc>
        <w:tc>
          <w:tcPr>
            <w:tcW w:type="dxa" w:w="3740"/>
            <w:shd w:fill="0F2747"/>
            <w:vAlign w:val="center"/>
            <w:tcMar>
              <w:top w:w="90" w:type="dxa"/>
              <w:start w:w="120" w:type="dxa"/>
              <w:bottom w:w="90" w:type="dxa"/>
              <w:end w:w="120" w:type="dxa"/>
            </w:tcMar>
          </w:tcPr>
          <w:p>
            <w:pPr>
              <w:spacing w:after="0"/>
              <w:jc w:val="left"/>
            </w:pPr>
            <w:r>
              <w:rPr>
                <w:rFonts w:ascii="Nimbus Sans" w:hAnsi="Nimbus Sans" w:eastAsia="Nimbus Sans"/>
                <w:b/>
                <w:i w:val="0"/>
                <w:color w:val="FFFFFF"/>
                <w:sz w:val="16"/>
              </w:rPr>
              <w:t>Cible 2028</w:t>
            </w:r>
          </w:p>
        </w:tc>
      </w:tr>
      <w:tr>
        <w:trPr>
          <w:cantSplit/>
        </w:trPr>
        <w:tc>
          <w:tcPr>
            <w:tcW w:type="dxa" w:w="60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Part de fonds allant directement aux projets</w:t>
            </w:r>
          </w:p>
        </w:tc>
        <w:tc>
          <w:tcPr>
            <w:tcW w:type="dxa" w:w="37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 90 % des ressources consommées</w:t>
            </w:r>
          </w:p>
        </w:tc>
      </w:tr>
      <w:tr>
        <w:trPr>
          <w:cantSplit/>
        </w:trPr>
        <w:tc>
          <w:tcPr>
            <w:tcW w:type="dxa" w:w="60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Part de l'enveloppe ouverte hors communes partenaires</w:t>
            </w:r>
          </w:p>
        </w:tc>
        <w:tc>
          <w:tcPr>
            <w:tcW w:type="dxa" w:w="37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 20 %</w:t>
            </w:r>
          </w:p>
        </w:tc>
      </w:tr>
      <w:tr>
        <w:trPr>
          <w:cantSplit/>
        </w:trPr>
        <w:tc>
          <w:tcPr>
            <w:tcW w:type="dxa" w:w="60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Communes de moins de 5 000 habitants parmi les lauréats</w:t>
            </w:r>
          </w:p>
        </w:tc>
        <w:tc>
          <w:tcPr>
            <w:tcW w:type="dxa" w:w="37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 50 %</w:t>
            </w:r>
          </w:p>
        </w:tc>
      </w:tr>
      <w:tr>
        <w:trPr>
          <w:cantSplit/>
        </w:trPr>
        <w:tc>
          <w:tcPr>
            <w:tcW w:type="dxa" w:w="60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Dossiers avec conflit non déclaré</w:t>
            </w:r>
          </w:p>
        </w:tc>
        <w:tc>
          <w:tcPr>
            <w:tcW w:type="dxa" w:w="37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0</w:t>
            </w:r>
          </w:p>
        </w:tc>
      </w:tr>
      <w:tr>
        <w:trPr>
          <w:cantSplit/>
        </w:trPr>
        <w:tc>
          <w:tcPr>
            <w:tcW w:type="dxa" w:w="60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Décaissements avec double validation</w:t>
            </w:r>
          </w:p>
        </w:tc>
        <w:tc>
          <w:tcPr>
            <w:tcW w:type="dxa" w:w="37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100 % au-dessus de 2 500 €</w:t>
            </w:r>
          </w:p>
        </w:tc>
      </w:tr>
      <w:tr>
        <w:trPr>
          <w:cantSplit/>
        </w:trPr>
        <w:tc>
          <w:tcPr>
            <w:tcW w:type="dxa" w:w="6000"/>
            <w:shd w:fill="FAFBFC"/>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Comptes et rapport publiés dans les délais</w:t>
            </w:r>
          </w:p>
        </w:tc>
        <w:tc>
          <w:tcPr>
            <w:tcW w:type="dxa" w:w="3740"/>
            <w:shd w:fill="FAFBFC"/>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100 %</w:t>
            </w:r>
          </w:p>
        </w:tc>
      </w:tr>
      <w:tr>
        <w:trPr>
          <w:cantSplit/>
        </w:trPr>
        <w:tc>
          <w:tcPr>
            <w:tcW w:type="dxa" w:w="6000"/>
            <w:vAlign w:val="center"/>
            <w:tcMar>
              <w:top w:w="90" w:type="dxa"/>
              <w:start w:w="120" w:type="dxa"/>
              <w:bottom w:w="90" w:type="dxa"/>
              <w:end w:w="120" w:type="dxa"/>
            </w:tcMar>
          </w:tcPr>
          <w:p>
            <w:pPr>
              <w:spacing w:after="0" w:line="247" w:lineRule="auto"/>
            </w:pPr>
            <w:r>
              <w:rPr>
                <w:rFonts w:ascii="Nimbus Sans" w:hAnsi="Nimbus Sans" w:eastAsia="Nimbus Sans"/>
                <w:b/>
                <w:i w:val="0"/>
                <w:color w:val="222B35"/>
                <w:sz w:val="16"/>
              </w:rPr>
              <w:t>Projets avec indicateurs et bilan final</w:t>
            </w:r>
          </w:p>
        </w:tc>
        <w:tc>
          <w:tcPr>
            <w:tcW w:type="dxa" w:w="3740"/>
            <w:vAlign w:val="center"/>
            <w:tcMar>
              <w:top w:w="90" w:type="dxa"/>
              <w:start w:w="120" w:type="dxa"/>
              <w:bottom w:w="90" w:type="dxa"/>
              <w:end w:w="120" w:type="dxa"/>
            </w:tcMar>
          </w:tcPr>
          <w:p>
            <w:pPr>
              <w:spacing w:after="0" w:line="247" w:lineRule="auto"/>
            </w:pPr>
            <w:r>
              <w:rPr>
                <w:rFonts w:ascii="Nimbus Sans" w:hAnsi="Nimbus Sans" w:eastAsia="Nimbus Sans"/>
                <w:b w:val="0"/>
                <w:i w:val="0"/>
                <w:color w:val="222B35"/>
                <w:sz w:val="16"/>
              </w:rPr>
              <w:t>100 %</w:t>
            </w:r>
          </w:p>
        </w:tc>
      </w:tr>
    </w:tbl>
    <w:p>
      <w:pPr>
        <w:spacing w:after="40"/>
      </w:pPr>
    </w:p>
    <w:p>
      <w:r>
        <w:br w:type="page"/>
      </w:r>
    </w:p>
    <w:p>
      <w:pPr>
        <w:pStyle w:val="Heading1"/>
        <w:keepNext/>
        <w:pageBreakBefore w:val="0"/>
        <w:pBdr>
          <w:left w:val="single" w:sz="18" w:space="8" w:color="C5A46D"/>
        </w:pBdr>
      </w:pPr>
      <w:r>
        <w:rPr>
          <w:rFonts w:ascii="Nimbus Sans" w:hAnsi="Nimbus Sans" w:eastAsia="Nimbus Sans"/>
          <w:b/>
          <w:i w:val="0"/>
          <w:color w:val="0F2747"/>
          <w:sz w:val="36"/>
        </w:rPr>
        <w:t>15. Clauses d'adoption et documents à produire</w:t>
      </w:r>
    </w:p>
    <w:p>
      <w:pPr>
        <w:pStyle w:val="Heading2"/>
        <w:keepNext/>
      </w:pPr>
      <w:r>
        <w:rPr>
          <w:rFonts w:ascii="Nimbus Sans" w:hAnsi="Nimbus Sans" w:eastAsia="Nimbus Sans"/>
          <w:b/>
          <w:i w:val="0"/>
          <w:color w:val="2E6FA3"/>
          <w:sz w:val="26"/>
        </w:rPr>
        <w:t>15.1 Portée</w:t>
      </w:r>
    </w:p>
    <w:p>
      <w:pPr>
        <w:keepLines w:val="0"/>
        <w:spacing w:before="0" w:after="80" w:line="269" w:lineRule="auto"/>
        <w:jc w:val="left"/>
      </w:pPr>
      <w:r>
        <w:rPr>
          <w:rFonts w:ascii="Nimbus Sans" w:hAnsi="Nimbus Sans" w:eastAsia="Nimbus Sans"/>
          <w:b w:val="0"/>
          <w:i w:val="0"/>
          <w:color w:val="222B35"/>
          <w:sz w:val="19"/>
        </w:rPr>
        <w:t>La présente charte engage moralement et opérationnellement le fonds, ses administrateurs, ses comités, ses salariés et ses prestataires. Elle complète les statuts sans pouvoir y déroger. En cas de contradiction, la loi puis les statuts prévalent ; le conseil met la charte en conformité lors de sa première réunion utile.</w:t>
      </w:r>
    </w:p>
    <w:p>
      <w:pPr>
        <w:pStyle w:val="Heading2"/>
        <w:keepNext/>
      </w:pPr>
      <w:r>
        <w:rPr>
          <w:rFonts w:ascii="Nimbus Sans" w:hAnsi="Nimbus Sans" w:eastAsia="Nimbus Sans"/>
          <w:b/>
          <w:i w:val="0"/>
          <w:color w:val="2E6FA3"/>
          <w:sz w:val="26"/>
        </w:rPr>
        <w:t>15.2 Révision</w:t>
      </w:r>
    </w:p>
    <w:p>
      <w:pPr>
        <w:keepLines w:val="0"/>
        <w:spacing w:before="0" w:after="80" w:line="269" w:lineRule="auto"/>
        <w:jc w:val="left"/>
      </w:pPr>
      <w:r>
        <w:rPr>
          <w:rFonts w:ascii="Nimbus Sans" w:hAnsi="Nimbus Sans" w:eastAsia="Nimbus Sans"/>
          <w:b w:val="0"/>
          <w:i w:val="0"/>
          <w:color w:val="222B35"/>
          <w:sz w:val="19"/>
        </w:rPr>
        <w:t>Révision annuelle après avis du comité d'éthique et, pour les dispositions financières, du commissaire aux comptes. Toute modification portant sur l'éligibilité, le barème ou les conflits ne s'applique pas à une campagne déjà ouverte, sauf impératif légal.</w:t>
      </w:r>
    </w:p>
    <w:p>
      <w:pPr>
        <w:pStyle w:val="Heading2"/>
        <w:keepNext/>
      </w:pPr>
      <w:r>
        <w:rPr>
          <w:rFonts w:ascii="Nimbus Sans" w:hAnsi="Nimbus Sans" w:eastAsia="Nimbus Sans"/>
          <w:b/>
          <w:i w:val="0"/>
          <w:color w:val="2E6FA3"/>
          <w:sz w:val="26"/>
        </w:rPr>
        <w:t>15.3 Paquet documentaire avant création</w:t>
      </w:r>
    </w:p>
    <w:p>
      <w:pPr>
        <w:pStyle w:val="ListBullet"/>
        <w:spacing w:after="40" w:line="259" w:lineRule="auto"/>
        <w:ind w:left="312" w:hanging="125"/>
      </w:pPr>
      <w:r>
        <w:rPr>
          <w:rFonts w:ascii="Nimbus Sans" w:hAnsi="Nimbus Sans" w:eastAsia="Nimbus Sans"/>
          <w:b w:val="0"/>
          <w:i w:val="0"/>
          <w:color w:val="222B35"/>
          <w:sz w:val="18"/>
        </w:rPr>
        <w:t>☐ Statuts du fonds, incluant dotation consomptible, plancher interne, gouvernance et dévolution de l'actif.</w:t>
      </w:r>
    </w:p>
    <w:p>
      <w:pPr>
        <w:pStyle w:val="ListBullet"/>
        <w:spacing w:after="40" w:line="259" w:lineRule="auto"/>
        <w:ind w:left="312" w:hanging="125"/>
      </w:pPr>
      <w:r>
        <w:rPr>
          <w:rFonts w:ascii="Nimbus Sans" w:hAnsi="Nimbus Sans" w:eastAsia="Nimbus Sans"/>
          <w:b w:val="0"/>
          <w:i w:val="0"/>
          <w:color w:val="222B35"/>
          <w:sz w:val="18"/>
        </w:rPr>
        <w:t>☐ Règlement intérieur du conseil et des comités.</w:t>
      </w:r>
    </w:p>
    <w:p>
      <w:pPr>
        <w:pStyle w:val="ListBullet"/>
        <w:spacing w:after="40" w:line="259" w:lineRule="auto"/>
        <w:ind w:left="312" w:hanging="125"/>
      </w:pPr>
      <w:r>
        <w:rPr>
          <w:rFonts w:ascii="Nimbus Sans" w:hAnsi="Nimbus Sans" w:eastAsia="Nimbus Sans"/>
          <w:b w:val="0"/>
          <w:i w:val="0"/>
          <w:color w:val="222B35"/>
          <w:sz w:val="18"/>
        </w:rPr>
        <w:t>☐ Convention pluriannuelle SAS PLU / fonds définissant les 30 %.</w:t>
      </w:r>
    </w:p>
    <w:p>
      <w:pPr>
        <w:pStyle w:val="ListBullet"/>
        <w:spacing w:after="40" w:line="259" w:lineRule="auto"/>
        <w:ind w:left="312" w:hanging="125"/>
      </w:pPr>
      <w:r>
        <w:rPr>
          <w:rFonts w:ascii="Nimbus Sans" w:hAnsi="Nimbus Sans" w:eastAsia="Nimbus Sans"/>
          <w:b w:val="0"/>
          <w:i w:val="0"/>
          <w:color w:val="222B35"/>
          <w:sz w:val="18"/>
        </w:rPr>
        <w:t>☐ Charte des donateurs et convention de paiement de redevance par un tiers.</w:t>
      </w:r>
    </w:p>
    <w:p>
      <w:pPr>
        <w:pStyle w:val="ListBullet"/>
        <w:spacing w:after="40" w:line="259" w:lineRule="auto"/>
        <w:ind w:left="312" w:hanging="125"/>
      </w:pPr>
      <w:r>
        <w:rPr>
          <w:rFonts w:ascii="Nimbus Sans" w:hAnsi="Nimbus Sans" w:eastAsia="Nimbus Sans"/>
          <w:b w:val="0"/>
          <w:i w:val="0"/>
          <w:color w:val="222B35"/>
          <w:sz w:val="18"/>
        </w:rPr>
        <w:t>☐ Politique d'investissement et de trésorerie.</w:t>
      </w:r>
    </w:p>
    <w:p>
      <w:pPr>
        <w:pStyle w:val="ListBullet"/>
        <w:spacing w:after="40" w:line="259" w:lineRule="auto"/>
        <w:ind w:left="312" w:hanging="125"/>
      </w:pPr>
      <w:r>
        <w:rPr>
          <w:rFonts w:ascii="Nimbus Sans" w:hAnsi="Nimbus Sans" w:eastAsia="Nimbus Sans"/>
          <w:b w:val="0"/>
          <w:i w:val="0"/>
          <w:color w:val="222B35"/>
          <w:sz w:val="18"/>
        </w:rPr>
        <w:t>☐ Politique de conflits d'intérêts et formulaire de déclaration.</w:t>
      </w:r>
    </w:p>
    <w:p>
      <w:pPr>
        <w:pStyle w:val="ListBullet"/>
        <w:spacing w:after="40" w:line="259" w:lineRule="auto"/>
        <w:ind w:left="312" w:hanging="125"/>
      </w:pPr>
      <w:r>
        <w:rPr>
          <w:rFonts w:ascii="Nimbus Sans" w:hAnsi="Nimbus Sans" w:eastAsia="Nimbus Sans"/>
          <w:b w:val="0"/>
          <w:i w:val="0"/>
          <w:color w:val="222B35"/>
          <w:sz w:val="18"/>
        </w:rPr>
        <w:t>☐ Règlement d'appel à projets et grille de notation 2028.</w:t>
      </w:r>
    </w:p>
    <w:p>
      <w:pPr>
        <w:pStyle w:val="ListBullet"/>
        <w:spacing w:after="40" w:line="259" w:lineRule="auto"/>
        <w:ind w:left="312" w:hanging="125"/>
      </w:pPr>
      <w:r>
        <w:rPr>
          <w:rFonts w:ascii="Nimbus Sans" w:hAnsi="Nimbus Sans" w:eastAsia="Nimbus Sans"/>
          <w:b w:val="0"/>
          <w:i w:val="0"/>
          <w:color w:val="222B35"/>
          <w:sz w:val="18"/>
        </w:rPr>
        <w:t>☐ Convention-type d'attribution aux communes.</w:t>
      </w:r>
    </w:p>
    <w:p>
      <w:pPr>
        <w:pStyle w:val="ListBullet"/>
        <w:spacing w:after="40" w:line="259" w:lineRule="auto"/>
        <w:ind w:left="312" w:hanging="125"/>
      </w:pPr>
      <w:r>
        <w:rPr>
          <w:rFonts w:ascii="Nimbus Sans" w:hAnsi="Nimbus Sans" w:eastAsia="Nimbus Sans"/>
          <w:b w:val="0"/>
          <w:i w:val="0"/>
          <w:color w:val="222B35"/>
          <w:sz w:val="18"/>
        </w:rPr>
        <w:t>☐ Lettre de mission de l'expert-comptable et mandat du CAC.</w:t>
      </w:r>
    </w:p>
    <w:p>
      <w:pPr>
        <w:pStyle w:val="ListBullet"/>
        <w:spacing w:after="40" w:line="259" w:lineRule="auto"/>
        <w:ind w:left="312" w:hanging="125"/>
      </w:pPr>
      <w:r>
        <w:rPr>
          <w:rFonts w:ascii="Nimbus Sans" w:hAnsi="Nimbus Sans" w:eastAsia="Nimbus Sans"/>
          <w:b w:val="0"/>
          <w:i w:val="0"/>
          <w:color w:val="222B35"/>
          <w:sz w:val="18"/>
        </w:rPr>
        <w:t>☐ Dossier de rescrit mécénat.</w:t>
      </w:r>
    </w:p>
    <w:p>
      <w:pPr>
        <w:pStyle w:val="ListBullet"/>
        <w:spacing w:after="40" w:line="259" w:lineRule="auto"/>
        <w:ind w:left="312" w:hanging="125"/>
      </w:pPr>
      <w:r>
        <w:rPr>
          <w:rFonts w:ascii="Nimbus Sans" w:hAnsi="Nimbus Sans" w:eastAsia="Nimbus Sans"/>
          <w:b w:val="0"/>
          <w:i w:val="0"/>
          <w:color w:val="222B35"/>
          <w:sz w:val="18"/>
        </w:rPr>
        <w:t>☐ Procédure de contrôle interne, habilitations et double signature.</w:t>
      </w:r>
    </w:p>
    <w:p>
      <w:pPr>
        <w:pStyle w:val="ListBullet"/>
        <w:spacing w:after="40" w:line="259" w:lineRule="auto"/>
        <w:ind w:left="312" w:hanging="125"/>
      </w:pPr>
      <w:r>
        <w:rPr>
          <w:rFonts w:ascii="Nimbus Sans" w:hAnsi="Nimbus Sans" w:eastAsia="Nimbus Sans"/>
          <w:b w:val="0"/>
          <w:i w:val="0"/>
          <w:color w:val="222B35"/>
          <w:sz w:val="18"/>
        </w:rPr>
        <w:t>☐ Notice RGPD pour les candidatures et canal d'alerte.</w:t>
      </w:r>
    </w:p>
    <w:p>
      <w:pPr>
        <w:pStyle w:val="Heading2"/>
        <w:keepNext/>
      </w:pPr>
      <w:r>
        <w:rPr>
          <w:rFonts w:ascii="Nimbus Sans" w:hAnsi="Nimbus Sans" w:eastAsia="Nimbus Sans"/>
          <w:b/>
          <w:i w:val="0"/>
          <w:color w:val="2E6FA3"/>
          <w:sz w:val="26"/>
        </w:rPr>
        <w:t>15.4 Décisions à prendre par la SAS PLU</w:t>
      </w:r>
    </w:p>
    <w:p>
      <w:pPr>
        <w:pStyle w:val="ListBullet"/>
        <w:spacing w:after="40" w:line="259" w:lineRule="auto"/>
        <w:ind w:left="312" w:hanging="125"/>
      </w:pPr>
      <w:r>
        <w:rPr>
          <w:rFonts w:ascii="Nimbus Sans" w:hAnsi="Nimbus Sans" w:eastAsia="Nimbus Sans"/>
          <w:b w:val="0"/>
          <w:i w:val="0"/>
          <w:color w:val="222B35"/>
          <w:sz w:val="18"/>
        </w:rPr>
        <w:t>approuver le principe de la contribution annuelle et sa formule ;</w:t>
      </w:r>
    </w:p>
    <w:p>
      <w:pPr>
        <w:pStyle w:val="ListBullet"/>
        <w:spacing w:after="40" w:line="259" w:lineRule="auto"/>
        <w:ind w:left="312" w:hanging="125"/>
      </w:pPr>
      <w:r>
        <w:rPr>
          <w:rFonts w:ascii="Nimbus Sans" w:hAnsi="Nimbus Sans" w:eastAsia="Nimbus Sans"/>
          <w:b w:val="0"/>
          <w:i w:val="0"/>
          <w:color w:val="222B35"/>
          <w:sz w:val="18"/>
        </w:rPr>
        <w:t>adapter, si nécessaire, l'objet social ou la politique RSE/mécénat de la SAS ;</w:t>
      </w:r>
    </w:p>
    <w:p>
      <w:pPr>
        <w:pStyle w:val="ListBullet"/>
        <w:spacing w:after="40" w:line="259" w:lineRule="auto"/>
        <w:ind w:left="312" w:hanging="125"/>
      </w:pPr>
      <w:r>
        <w:rPr>
          <w:rFonts w:ascii="Nimbus Sans" w:hAnsi="Nimbus Sans" w:eastAsia="Nimbus Sans"/>
          <w:b w:val="0"/>
          <w:i w:val="0"/>
          <w:color w:val="222B35"/>
          <w:sz w:val="18"/>
        </w:rPr>
        <w:t>désigner ses deux représentants au maximum ;</w:t>
      </w:r>
    </w:p>
    <w:p>
      <w:pPr>
        <w:pStyle w:val="ListBullet"/>
        <w:spacing w:after="40" w:line="259" w:lineRule="auto"/>
        <w:ind w:left="312" w:hanging="125"/>
      </w:pPr>
      <w:r>
        <w:rPr>
          <w:rFonts w:ascii="Nimbus Sans" w:hAnsi="Nimbus Sans" w:eastAsia="Nimbus Sans"/>
          <w:b w:val="0"/>
          <w:i w:val="0"/>
          <w:color w:val="222B35"/>
          <w:sz w:val="18"/>
        </w:rPr>
        <w:t>voter l'apport initial de 15 000 € ;</w:t>
      </w:r>
    </w:p>
    <w:p>
      <w:pPr>
        <w:pStyle w:val="ListBullet"/>
        <w:spacing w:after="40" w:line="259" w:lineRule="auto"/>
        <w:ind w:left="312" w:hanging="125"/>
      </w:pPr>
      <w:r>
        <w:rPr>
          <w:rFonts w:ascii="Nimbus Sans" w:hAnsi="Nimbus Sans" w:eastAsia="Nimbus Sans"/>
          <w:b w:val="0"/>
          <w:i w:val="0"/>
          <w:color w:val="222B35"/>
          <w:sz w:val="18"/>
        </w:rPr>
        <w:t>interdire toute utilisation commerciale laissant croire qu'une redevance achète une aide ;</w:t>
      </w:r>
    </w:p>
    <w:p>
      <w:pPr>
        <w:pStyle w:val="ListBullet"/>
        <w:spacing w:after="40" w:line="259" w:lineRule="auto"/>
        <w:ind w:left="312" w:hanging="125"/>
      </w:pPr>
      <w:r>
        <w:rPr>
          <w:rFonts w:ascii="Nimbus Sans" w:hAnsi="Nimbus Sans" w:eastAsia="Nimbus Sans"/>
          <w:b w:val="0"/>
          <w:i w:val="0"/>
          <w:color w:val="222B35"/>
          <w:sz w:val="18"/>
        </w:rPr>
        <w:t>prévoir la traçabilité analytique dès le 1er janvier 2027.</w:t>
      </w:r>
    </w:p>
    <w:p>
      <w:pPr>
        <w:spacing w:before="100" w:after="140" w:line="264" w:lineRule="auto"/>
        <w:ind w:left="142" w:right="142"/>
        <w:shd w:fill="EAF1F7" w:val="clear"/>
        <w:pBdr>
          <w:left w:val="single" w:sz="20" w:space="6" w:color="2E6FA3"/>
        </w:pBdr>
      </w:pPr>
      <w:r>
        <w:rPr>
          <w:rFonts w:ascii="Nimbus Sans" w:hAnsi="Nimbus Sans" w:eastAsia="Nimbus Sans"/>
          <w:b/>
          <w:i w:val="0"/>
          <w:color w:val="2E6FA3"/>
          <w:sz w:val="18"/>
        </w:rPr>
        <w:t xml:space="preserve">FORMULE DE COMMUNICATION RECOMMANDÉE  </w:t>
      </w:r>
      <w:r>
        <w:rPr>
          <w:rFonts w:ascii="Nimbus Sans" w:hAnsi="Nimbus Sans" w:eastAsia="Nimbus Sans"/>
          <w:b w:val="0"/>
          <w:i w:val="0"/>
          <w:color w:val="222B35"/>
          <w:sz w:val="18"/>
        </w:rPr>
        <w:t>PLU.immo s'engage à verser au Fonds de dotation PLU.immo 30 % du résultat net contributif positif de ses activités de partenariat, selon une méthode certifiée et publiée. Les aides sont attribuées en toute indépendance, selon des critères d'intérêt général et d'équité territoriale ; aucune redevance ne crée un droit à financement.</w:t>
      </w:r>
    </w:p>
    <w:p>
      <w:r>
        <w:br w:type="page"/>
      </w:r>
    </w:p>
    <w:p>
      <w:pPr>
        <w:pStyle w:val="Heading1"/>
        <w:keepNext/>
        <w:pageBreakBefore w:val="0"/>
        <w:pBdr>
          <w:left w:val="single" w:sz="18" w:space="8" w:color="C5A46D"/>
        </w:pBdr>
      </w:pPr>
      <w:r>
        <w:rPr>
          <w:rFonts w:ascii="Nimbus Sans" w:hAnsi="Nimbus Sans" w:eastAsia="Nimbus Sans"/>
          <w:b/>
          <w:i w:val="0"/>
          <w:color w:val="0F2747"/>
          <w:sz w:val="36"/>
        </w:rPr>
        <w:t>16. Références juridiques et administratives</w:t>
      </w:r>
    </w:p>
    <w:p>
      <w:pPr>
        <w:keepLines/>
        <w:spacing w:after="120"/>
      </w:pPr>
      <w:r>
        <w:rPr>
          <w:rFonts w:ascii="Nimbus Sans" w:hAnsi="Nimbus Sans" w:eastAsia="Nimbus Sans"/>
          <w:b/>
          <w:i w:val="0"/>
          <w:color w:val="C5A46D"/>
          <w:sz w:val="18"/>
        </w:rPr>
        <w:t xml:space="preserve">R1  </w:t>
      </w:r>
      <w:r>
        <w:rPr>
          <w:rFonts w:ascii="Nimbus Sans" w:hAnsi="Nimbus Sans" w:eastAsia="Nimbus Sans"/>
          <w:b/>
          <w:i w:val="0"/>
          <w:color w:val="222B35"/>
          <w:sz w:val="18"/>
        </w:rPr>
        <w:t>Loi n° 2008-776 du 4 août 2008, article 140 - fonds de dotation</w:t>
        <w:br/>
      </w:r>
      <w:hyperlink r:id="rId11">
        <w:r>
          <w:rPr>
            <w:rFonts w:ascii="Nimbus Sans" w:hAnsi="Nimbus Sans"/>
            <w:color w:val="2E6FA3"/>
            <w:u w:val="single"/>
            <w:sz w:val="18"/>
          </w:rPr>
          <w:t>https://www.legifrance.gouv.fr/loda/article_lc/LEGIARTI000038610543</w:t>
        </w:r>
      </w:hyperlink>
    </w:p>
    <w:p>
      <w:pPr>
        <w:keepLines/>
        <w:spacing w:after="120"/>
      </w:pPr>
      <w:r>
        <w:rPr>
          <w:rFonts w:ascii="Nimbus Sans" w:hAnsi="Nimbus Sans" w:eastAsia="Nimbus Sans"/>
          <w:b/>
          <w:i w:val="0"/>
          <w:color w:val="C5A46D"/>
          <w:sz w:val="18"/>
        </w:rPr>
        <w:t xml:space="preserve">R2  </w:t>
      </w:r>
      <w:r>
        <w:rPr>
          <w:rFonts w:ascii="Nimbus Sans" w:hAnsi="Nimbus Sans" w:eastAsia="Nimbus Sans"/>
          <w:b/>
          <w:i w:val="0"/>
          <w:color w:val="222B35"/>
          <w:sz w:val="18"/>
        </w:rPr>
        <w:t>Décret n° 2009-158 du 11 février 2009 relatif aux fonds de dotation, version en vigueur</w:t>
        <w:br/>
      </w:r>
      <w:hyperlink r:id="rId12">
        <w:r>
          <w:rPr>
            <w:rFonts w:ascii="Nimbus Sans" w:hAnsi="Nimbus Sans"/>
            <w:color w:val="2E6FA3"/>
            <w:u w:val="single"/>
            <w:sz w:val="18"/>
          </w:rPr>
          <w:t>https://www.legifrance.gouv.fr/loda/id/JORFTEXT000020246872/</w:t>
        </w:r>
      </w:hyperlink>
    </w:p>
    <w:p>
      <w:pPr>
        <w:keepLines/>
        <w:spacing w:after="120"/>
      </w:pPr>
      <w:r>
        <w:rPr>
          <w:rFonts w:ascii="Nimbus Sans" w:hAnsi="Nimbus Sans" w:eastAsia="Nimbus Sans"/>
          <w:b/>
          <w:i w:val="0"/>
          <w:color w:val="C5A46D"/>
          <w:sz w:val="18"/>
        </w:rPr>
        <w:t xml:space="preserve">R3  </w:t>
      </w:r>
      <w:r>
        <w:rPr>
          <w:rFonts w:ascii="Nimbus Sans" w:hAnsi="Nimbus Sans" w:eastAsia="Nimbus Sans"/>
          <w:b/>
          <w:i w:val="0"/>
          <w:color w:val="222B35"/>
          <w:sz w:val="18"/>
        </w:rPr>
        <w:t>Direction des affaires juridiques - Questions / réponses sur les fonds de dotation</w:t>
        <w:br/>
      </w:r>
      <w:hyperlink r:id="rId13">
        <w:r>
          <w:rPr>
            <w:rFonts w:ascii="Nimbus Sans" w:hAnsi="Nimbus Sans"/>
            <w:color w:val="2E6FA3"/>
            <w:u w:val="single"/>
            <w:sz w:val="18"/>
          </w:rPr>
          <w:t>https://www.economie.gouv.fr/daj/fonds-de-dotation/questions-reponses</w:t>
        </w:r>
      </w:hyperlink>
    </w:p>
    <w:p>
      <w:pPr>
        <w:keepLines/>
        <w:spacing w:after="120"/>
      </w:pPr>
      <w:r>
        <w:rPr>
          <w:rFonts w:ascii="Nimbus Sans" w:hAnsi="Nimbus Sans" w:eastAsia="Nimbus Sans"/>
          <w:b/>
          <w:i w:val="0"/>
          <w:color w:val="C5A46D"/>
          <w:sz w:val="18"/>
        </w:rPr>
        <w:t xml:space="preserve">R4  </w:t>
      </w:r>
      <w:r>
        <w:rPr>
          <w:rFonts w:ascii="Nimbus Sans" w:hAnsi="Nimbus Sans" w:eastAsia="Nimbus Sans"/>
          <w:b/>
          <w:i w:val="0"/>
          <w:color w:val="222B35"/>
          <w:sz w:val="18"/>
        </w:rPr>
        <w:t>Code général des impôts, article 238 bis, version en vigueur au 26 août 2026</w:t>
        <w:br/>
      </w:r>
      <w:hyperlink r:id="rId14">
        <w:r>
          <w:rPr>
            <w:rFonts w:ascii="Nimbus Sans" w:hAnsi="Nimbus Sans"/>
            <w:color w:val="2E6FA3"/>
            <w:u w:val="single"/>
            <w:sz w:val="18"/>
          </w:rPr>
          <w:t>https://www.legifrance.gouv.fr/codes/article_lc/LEGIARTI000041470858</w:t>
        </w:r>
      </w:hyperlink>
    </w:p>
    <w:p>
      <w:pPr>
        <w:keepLines/>
        <w:spacing w:after="120"/>
      </w:pPr>
      <w:r>
        <w:rPr>
          <w:rFonts w:ascii="Nimbus Sans" w:hAnsi="Nimbus Sans" w:eastAsia="Nimbus Sans"/>
          <w:b/>
          <w:i w:val="0"/>
          <w:color w:val="C5A46D"/>
          <w:sz w:val="18"/>
        </w:rPr>
        <w:t xml:space="preserve">R5  </w:t>
      </w:r>
      <w:r>
        <w:rPr>
          <w:rFonts w:ascii="Nimbus Sans" w:hAnsi="Nimbus Sans" w:eastAsia="Nimbus Sans"/>
          <w:b/>
          <w:i w:val="0"/>
          <w:color w:val="222B35"/>
          <w:sz w:val="18"/>
        </w:rPr>
        <w:t>BOFiP - fonds de dotation redistributeurs et bénéficiaires du mécénat</w:t>
        <w:br/>
      </w:r>
      <w:hyperlink r:id="rId15">
        <w:r>
          <w:rPr>
            <w:rFonts w:ascii="Nimbus Sans" w:hAnsi="Nimbus Sans"/>
            <w:color w:val="2E6FA3"/>
            <w:u w:val="single"/>
            <w:sz w:val="18"/>
          </w:rPr>
          <w:t>https://bofip.impots.gouv.fr/bofip/10964-PGP.html/identifiant=BOI-BIC-RICI-20-30-10-15-20230621</w:t>
        </w:r>
      </w:hyperlink>
    </w:p>
    <w:p>
      <w:pPr>
        <w:keepLines/>
        <w:spacing w:after="120"/>
      </w:pPr>
      <w:r>
        <w:rPr>
          <w:rFonts w:ascii="Nimbus Sans" w:hAnsi="Nimbus Sans" w:eastAsia="Nimbus Sans"/>
          <w:b/>
          <w:i w:val="0"/>
          <w:color w:val="C5A46D"/>
          <w:sz w:val="18"/>
        </w:rPr>
        <w:t xml:space="preserve">R6  </w:t>
      </w:r>
      <w:r>
        <w:rPr>
          <w:rFonts w:ascii="Nimbus Sans" w:hAnsi="Nimbus Sans" w:eastAsia="Nimbus Sans"/>
          <w:b/>
          <w:i w:val="0"/>
          <w:color w:val="222B35"/>
          <w:sz w:val="18"/>
        </w:rPr>
        <w:t>DGFiP - déclaration des dons et reçus fiscaux</w:t>
        <w:br/>
      </w:r>
      <w:hyperlink r:id="rId16">
        <w:r>
          <w:rPr>
            <w:rFonts w:ascii="Nimbus Sans" w:hAnsi="Nimbus Sans"/>
            <w:color w:val="2E6FA3"/>
            <w:u w:val="single"/>
            <w:sz w:val="18"/>
          </w:rPr>
          <w:t>https://www.impots.gouv.fr/professionnel/declaration-des-dons-et-recus</w:t>
        </w:r>
      </w:hyperlink>
    </w:p>
    <w:p>
      <w:pPr>
        <w:keepLines/>
        <w:spacing w:after="120"/>
      </w:pPr>
      <w:r>
        <w:rPr>
          <w:rFonts w:ascii="Nimbus Sans" w:hAnsi="Nimbus Sans" w:eastAsia="Nimbus Sans"/>
          <w:b/>
          <w:i w:val="0"/>
          <w:color w:val="C5A46D"/>
          <w:sz w:val="18"/>
        </w:rPr>
        <w:t xml:space="preserve">R7  </w:t>
      </w:r>
      <w:r>
        <w:rPr>
          <w:rFonts w:ascii="Nimbus Sans" w:hAnsi="Nimbus Sans" w:eastAsia="Nimbus Sans"/>
          <w:b/>
          <w:i w:val="0"/>
          <w:color w:val="222B35"/>
          <w:sz w:val="18"/>
        </w:rPr>
        <w:t>Code de commerce, missions du commissaire aux comptes ; code de déontologie des experts-comptables</w:t>
        <w:br/>
      </w:r>
      <w:hyperlink r:id="rId17">
        <w:r>
          <w:rPr>
            <w:rFonts w:ascii="Nimbus Sans" w:hAnsi="Nimbus Sans"/>
            <w:color w:val="2E6FA3"/>
            <w:u w:val="single"/>
            <w:sz w:val="18"/>
          </w:rPr>
          <w:t>https://www.legifrance.gouv.fr/codes/section_lc/LEGITEXT000005634379/LEGISCTA000006146154/</w:t>
        </w:r>
      </w:hyperlink>
    </w:p>
    <w:p>
      <w:pPr>
        <w:keepLines/>
        <w:spacing w:after="120"/>
      </w:pPr>
      <w:r>
        <w:rPr>
          <w:rFonts w:ascii="Nimbus Sans" w:hAnsi="Nimbus Sans" w:eastAsia="Nimbus Sans"/>
          <w:b/>
          <w:i w:val="0"/>
          <w:color w:val="C5A46D"/>
          <w:sz w:val="18"/>
        </w:rPr>
        <w:t xml:space="preserve">R8  </w:t>
      </w:r>
      <w:r>
        <w:rPr>
          <w:rFonts w:ascii="Nimbus Sans" w:hAnsi="Nimbus Sans" w:eastAsia="Nimbus Sans"/>
          <w:b/>
          <w:i w:val="0"/>
          <w:color w:val="222B35"/>
          <w:sz w:val="18"/>
        </w:rPr>
        <w:t>Code monétaire et financier, articles L. 518-17 et suivants - Caisse des Dépôts et consignations</w:t>
        <w:br/>
      </w:r>
      <w:hyperlink r:id="rId18">
        <w:r>
          <w:rPr>
            <w:rFonts w:ascii="Nimbus Sans" w:hAnsi="Nimbus Sans"/>
            <w:color w:val="2E6FA3"/>
            <w:u w:val="single"/>
            <w:sz w:val="18"/>
          </w:rPr>
          <w:t>https://www.legifrance.gouv.fr/codes/article_lc/LEGIARTI000020051095</w:t>
        </w:r>
      </w:hyperlink>
    </w:p>
    <w:p>
      <w:pPr>
        <w:keepLines/>
        <w:spacing w:after="120"/>
      </w:pPr>
      <w:r>
        <w:rPr>
          <w:rFonts w:ascii="Nimbus Sans" w:hAnsi="Nimbus Sans" w:eastAsia="Nimbus Sans"/>
          <w:b/>
          <w:i w:val="0"/>
          <w:color w:val="C5A46D"/>
          <w:sz w:val="18"/>
        </w:rPr>
        <w:t xml:space="preserve">R9  </w:t>
      </w:r>
      <w:r>
        <w:rPr>
          <w:rFonts w:ascii="Nimbus Sans" w:hAnsi="Nimbus Sans" w:eastAsia="Nimbus Sans"/>
          <w:b/>
          <w:i w:val="0"/>
          <w:color w:val="222B35"/>
          <w:sz w:val="18"/>
        </w:rPr>
        <w:t>Règlement ANC n° 2018-06 modifié - comptes des organismes privés sans but lucratif</w:t>
        <w:br/>
      </w:r>
      <w:hyperlink r:id="rId19">
        <w:r>
          <w:rPr>
            <w:rFonts w:ascii="Nimbus Sans" w:hAnsi="Nimbus Sans"/>
            <w:color w:val="2E6FA3"/>
            <w:u w:val="single"/>
            <w:sz w:val="18"/>
          </w:rPr>
          <w:t>https://www.anc.gouv.fr/</w:t>
        </w:r>
      </w:hyperlink>
    </w:p>
    <w:p>
      <w:pPr>
        <w:keepLines/>
        <w:spacing w:after="120"/>
      </w:pPr>
      <w:r>
        <w:rPr>
          <w:rFonts w:ascii="Nimbus Sans" w:hAnsi="Nimbus Sans" w:eastAsia="Nimbus Sans"/>
          <w:b/>
          <w:i w:val="0"/>
          <w:color w:val="C5A46D"/>
          <w:sz w:val="18"/>
        </w:rPr>
        <w:t xml:space="preserve">R10  </w:t>
      </w:r>
      <w:r>
        <w:rPr>
          <w:rFonts w:ascii="Nimbus Sans" w:hAnsi="Nimbus Sans" w:eastAsia="Nimbus Sans"/>
          <w:b/>
          <w:i w:val="0"/>
          <w:color w:val="222B35"/>
          <w:sz w:val="18"/>
        </w:rPr>
        <w:t>Ministère de l'Économie - procédure de rescrit fiscal</w:t>
        <w:br/>
      </w:r>
      <w:hyperlink r:id="rId20">
        <w:r>
          <w:rPr>
            <w:rFonts w:ascii="Nimbus Sans" w:hAnsi="Nimbus Sans"/>
            <w:color w:val="2E6FA3"/>
            <w:u w:val="single"/>
            <w:sz w:val="18"/>
          </w:rPr>
          <w:t>https://www.economie.gouv.fr/entreprises/gerer-sa-fiscalite-et-ses-impots/autres-impots-et-taxes/avec-le-rescrit-fiscal-obtenez-un-avis-de-ladministration-sur-votre-situation</w:t>
        </w:r>
      </w:hyperlink>
    </w:p>
    <w:p>
      <w:pPr>
        <w:spacing w:before="100" w:after="140" w:line="264" w:lineRule="auto"/>
        <w:ind w:left="142" w:right="142"/>
        <w:shd w:fill="F7F1E7" w:val="clear"/>
        <w:pBdr>
          <w:left w:val="single" w:sz="20" w:space="6" w:color="C5A46D"/>
        </w:pBdr>
      </w:pPr>
      <w:r>
        <w:rPr>
          <w:rFonts w:ascii="Nimbus Sans" w:hAnsi="Nimbus Sans" w:eastAsia="Nimbus Sans"/>
          <w:b/>
          <w:i w:val="0"/>
          <w:color w:val="C5A46D"/>
          <w:sz w:val="18"/>
        </w:rPr>
        <w:t xml:space="preserve">ACTUALISATION  </w:t>
      </w:r>
      <w:r>
        <w:rPr>
          <w:rFonts w:ascii="Nimbus Sans" w:hAnsi="Nimbus Sans" w:eastAsia="Nimbus Sans"/>
          <w:b w:val="0"/>
          <w:i w:val="0"/>
          <w:color w:val="222B35"/>
          <w:sz w:val="18"/>
        </w:rPr>
        <w:t>Les seuils, formulaires et articles fiscaux doivent être revérifiés immédiatement avant la déclaration du fonds et avant le premier appel à projets. Toute évolution législative ou doctrinale postérieure au 26 août 2026 prime sur le présent document.</w:t>
      </w:r>
    </w:p>
    <w:p>
      <w:pPr>
        <w:keepLines w:val="0"/>
        <w:spacing w:before="360" w:after="0" w:line="269" w:lineRule="auto"/>
        <w:jc w:val="center"/>
      </w:pPr>
      <w:r>
        <w:rPr>
          <w:rFonts w:ascii="Nimbus Sans" w:hAnsi="Nimbus Sans" w:eastAsia="Nimbus Sans"/>
          <w:b w:val="0"/>
          <w:i/>
          <w:color w:val="5E6875"/>
          <w:sz w:val="17"/>
        </w:rPr>
        <w:t>Fin du document</w:t>
      </w:r>
    </w:p>
    <w:sectPr w:rsidR="00FC693F" w:rsidRPr="0006063C" w:rsidSect="00034616">
      <w:headerReference w:type="default" r:id="rId9"/>
      <w:footerReference w:type="default" r:id="rId10"/>
      <w:pgSz w:w="11906" w:h="16838"/>
      <w:pgMar w:top="964" w:right="1020" w:bottom="907" w:left="1020" w:header="397" w:footer="39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center"/>
      <w:pBdr>
        <w:top w:val="single" w:sz="4" w:space="3" w:color="D9DEE5"/>
      </w:pBdr>
    </w:pPr>
    <w:r>
      <w:rPr>
        <w:rFonts w:ascii="Nimbus Sans" w:hAnsi="Nimbus Sans" w:eastAsia="Nimbus Sans"/>
        <w:b w:val="0"/>
        <w:i w:val="0"/>
        <w:color w:val="5E6875"/>
        <w:sz w:val="14"/>
      </w:rPr>
      <w:t xml:space="preserve">PLU.immo | Charte fondatrice | Version de travail - 26 août 2026  |  </w:t>
    </w:r>
    <w:r>
      <w:rPr>
        <w:rFonts w:ascii="Nimbus Sans" w:hAnsi="Nimbus Sans" w:eastAsia="Nimbus Sans"/>
        <w:b w:val="0"/>
        <w:i w:val="0"/>
        <w:color w:val="5E6875"/>
        <w:sz w:val="14"/>
      </w:rPr>
      <w:fldChar w:fldCharType="begin"/>
      <w:instrText xml:space="preserve">PAGE</w:instrText>
      <w:fldChar w:fldCharType="end"/>
    </w:r>
    <w:r>
      <w:rPr>
        <w:rFonts w:ascii="Nimbus Sans" w:hAnsi="Nimbus Sans" w:eastAsia="Nimbus Sans"/>
        <w:b w:val="0"/>
        <w:i w:val="0"/>
        <w:color w:val="5E6875"/>
        <w:sz w:val="14"/>
      </w:rPr>
      <w:t xml:space="preserve"> / </w:t>
    </w:r>
    <w:r>
      <w:rPr>
        <w:rFonts w:ascii="Nimbus Sans" w:hAnsi="Nimbus Sans" w:eastAsia="Nimbus Sans"/>
        <w:b w:val="0"/>
        <w:i w:val="0"/>
        <w:color w:val="5E6875"/>
        <w:sz w:val="14"/>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8" w:space="3" w:color="C5A46D"/>
      </w:pBdr>
    </w:pPr>
    <w:r>
      <w:rPr>
        <w:rFonts w:ascii="Nimbus Sans" w:hAnsi="Nimbus Sans" w:eastAsia="Nimbus Sans"/>
        <w:b/>
        <w:i w:val="0"/>
        <w:color w:val="0F2747"/>
        <w:sz w:val="17"/>
      </w:rPr>
      <w:t>PLU.immo</w:t>
    </w:r>
    <w:r>
      <w:rPr>
        <w:rFonts w:ascii="Nimbus Sans" w:hAnsi="Nimbus Sans" w:eastAsia="Nimbus Sans"/>
        <w:b/>
        <w:i w:val="0"/>
        <w:color w:val="5E6875"/>
        <w:sz w:val="16"/>
      </w:rPr>
      <w:t xml:space="preserve">  |  FONDS DE DOTATION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Nimbus Sans" w:hAnsi="Nimbus Sans"/>
      <w:color w:val="222B35"/>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Nimbus Sans" w:hAnsi="Nimbus Sans"/>
      <w:b/>
      <w:bCs/>
      <w:color w:val="0F2747"/>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Nimbus Sans" w:hAnsi="Nimbus Sans"/>
      <w:b/>
      <w:bCs/>
      <w:color w:val="2E6FA3"/>
      <w:sz w:val="26"/>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Nimbus Sans" w:hAnsi="Nimbus Sans"/>
      <w:b/>
      <w:bCs/>
      <w:color w:val="C8102E"/>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Nimbus Sans" w:hAnsi="Nimbus Sans"/>
      <w:color w:val="222B35"/>
      <w:sz w:val="18"/>
    </w:rPr>
  </w:style>
  <w:style w:type="paragraph" w:styleId="ListBullet2">
    <w:name w:val="List Bullet 2"/>
    <w:basedOn w:val="Normal"/>
    <w:uiPriority w:val="99"/>
    <w:unhideWhenUsed/>
    <w:rsid w:val="00326F90"/>
    <w:pPr>
      <w:numPr>
        <w:numId w:val="2"/>
      </w:numPr>
      <w:contextualSpacing/>
    </w:pPr>
    <w:rPr>
      <w:rFonts w:ascii="Nimbus Sans" w:hAnsi="Nimbus Sans"/>
      <w:color w:val="222B35"/>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Nimbus Sans" w:hAnsi="Nimbus Sans"/>
      <w:color w:val="222B35"/>
      <w:sz w:val="18"/>
    </w:rPr>
  </w:style>
  <w:style w:type="paragraph" w:styleId="ListNumber2">
    <w:name w:val="List Number 2"/>
    <w:basedOn w:val="Normal"/>
    <w:uiPriority w:val="99"/>
    <w:unhideWhenUsed/>
    <w:rsid w:val="0029639D"/>
    <w:pPr>
      <w:numPr>
        <w:numId w:val="6"/>
      </w:numPr>
      <w:contextualSpacing/>
    </w:pPr>
    <w:rPr>
      <w:rFonts w:ascii="Nimbus Sans" w:hAnsi="Nimbus Sans"/>
      <w:color w:val="222B35"/>
      <w:sz w:val="18"/>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Note">
    <w:name w:val="Legal Note"/>
    <w:pPr>
      <w:spacing w:after="80"/>
    </w:pPr>
    <w:rPr>
      <w:rFonts w:ascii="Nimbus Roman" w:hAnsi="Nimbus Roman"/>
      <w:color w:val="5E6875"/>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legifrance.gouv.fr/loda/article_lc/LEGIARTI000038610543" TargetMode="External"/><Relationship Id="rId12" Type="http://schemas.openxmlformats.org/officeDocument/2006/relationships/hyperlink" Target="https://www.legifrance.gouv.fr/loda/id/JORFTEXT000020246872/" TargetMode="External"/><Relationship Id="rId13" Type="http://schemas.openxmlformats.org/officeDocument/2006/relationships/hyperlink" Target="https://www.economie.gouv.fr/daj/fonds-de-dotation/questions-reponses" TargetMode="External"/><Relationship Id="rId14" Type="http://schemas.openxmlformats.org/officeDocument/2006/relationships/hyperlink" Target="https://www.legifrance.gouv.fr/codes/article_lc/LEGIARTI000041470858" TargetMode="External"/><Relationship Id="rId15" Type="http://schemas.openxmlformats.org/officeDocument/2006/relationships/hyperlink" Target="https://bofip.impots.gouv.fr/bofip/10964-PGP.html/identifiant=BOI-BIC-RICI-20-30-10-15-20230621" TargetMode="External"/><Relationship Id="rId16" Type="http://schemas.openxmlformats.org/officeDocument/2006/relationships/hyperlink" Target="https://www.impots.gouv.fr/professionnel/declaration-des-dons-et-recus" TargetMode="External"/><Relationship Id="rId17" Type="http://schemas.openxmlformats.org/officeDocument/2006/relationships/hyperlink" Target="https://www.legifrance.gouv.fr/codes/section_lc/LEGITEXT000005634379/LEGISCTA000006146154/" TargetMode="External"/><Relationship Id="rId18" Type="http://schemas.openxmlformats.org/officeDocument/2006/relationships/hyperlink" Target="https://www.legifrance.gouv.fr/codes/article_lc/LEGIARTI000020051095" TargetMode="External"/><Relationship Id="rId19" Type="http://schemas.openxmlformats.org/officeDocument/2006/relationships/hyperlink" Target="https://www.anc.gouv.fr/" TargetMode="External"/><Relationship Id="rId20" Type="http://schemas.openxmlformats.org/officeDocument/2006/relationships/hyperlink" Target="https://www.economie.gouv.fr/entreprises/gerer-sa-fiscalite-et-ses-impots/autres-impots-et-taxes/avec-le-rescrit-fiscal-obtenez-un-avis-de-ladministration-sur-votre-situ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Charte fondatrice et cahier des charges opérationnel - Fonds de dotation PLU.immo</dc:title>
  <dc:subject>Redistribution de 30 % des bénéfices liés aux partenariats - première attribution fin 2028</dc:subject>
  <dc:creator>PLU.immo</dc:creator>
  <cp:keywords>fonds de dotation, PLU.immo, architecture, culture, patrimoine, communes, mécénat</cp:keywords>
  <dc:description>Version de travail au 26 août 2026</dc:description>
  <cp:lastModifiedBy/>
  <cp:revision>1</cp:revision>
  <dcterms:created xsi:type="dcterms:W3CDTF">2013-12-23T23:15:00Z</dcterms:created>
  <dcterms:modified xsi:type="dcterms:W3CDTF">2013-12-23T23:15:00Z</dcterms:modified>
  <cp:category/>
</cp:coreProperties>
</file>